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ADB7F" w14:textId="77777777" w:rsidR="00151E82" w:rsidRPr="005F2FB2" w:rsidRDefault="00FB746C" w:rsidP="00E73263">
      <w:pPr>
        <w:pStyle w:val="Title"/>
        <w:pBdr>
          <w:bottom w:val="single" w:sz="12" w:space="4" w:color="41788E" w:themeColor="accent6" w:themeShade="80"/>
        </w:pBdr>
        <w:spacing w:before="0" w:line="360" w:lineRule="auto"/>
        <w:rPr>
          <w:rFonts w:cstheme="minorHAnsi"/>
          <w:sz w:val="36"/>
        </w:rPr>
      </w:pPr>
      <w:r w:rsidRPr="005F2FB2">
        <w:rPr>
          <w:rFonts w:cstheme="minorHAnsi"/>
          <w:sz w:val="36"/>
        </w:rPr>
        <w:t>Ass</w:t>
      </w:r>
      <w:r w:rsidR="00D01634">
        <w:rPr>
          <w:rFonts w:cstheme="minorHAnsi"/>
          <w:sz w:val="36"/>
        </w:rPr>
        <w:t>essment</w:t>
      </w:r>
      <w:r w:rsidRPr="005F2FB2">
        <w:rPr>
          <w:rFonts w:cstheme="minorHAnsi"/>
          <w:sz w:val="36"/>
        </w:rPr>
        <w:t xml:space="preserve"> </w:t>
      </w:r>
      <w:r w:rsidR="003D03D8">
        <w:rPr>
          <w:rFonts w:cstheme="minorHAnsi"/>
          <w:sz w:val="36"/>
        </w:rPr>
        <w:t>2</w:t>
      </w:r>
    </w:p>
    <w:p w14:paraId="4BF340F2" w14:textId="77777777" w:rsidR="00151E82" w:rsidRDefault="00FB746C">
      <w:pPr>
        <w:pStyle w:val="Heading1"/>
        <w:numPr>
          <w:ilvl w:val="0"/>
          <w:numId w:val="0"/>
        </w:numPr>
        <w:spacing w:line="240" w:lineRule="auto"/>
        <w:rPr>
          <w:sz w:val="24"/>
          <w:lang w:eastAsia="en-AU"/>
        </w:rPr>
      </w:pPr>
      <w:r>
        <w:rPr>
          <w:lang w:eastAsia="en-AU"/>
        </w:rPr>
        <w:t>Title</w:t>
      </w:r>
    </w:p>
    <w:tbl>
      <w:tblPr>
        <w:tblW w:w="0" w:type="auto"/>
        <w:tblCellMar>
          <w:left w:w="113" w:type="dxa"/>
          <w:right w:w="113" w:type="dxa"/>
        </w:tblCellMar>
        <w:tblLook w:val="04A0" w:firstRow="1" w:lastRow="0" w:firstColumn="1" w:lastColumn="0" w:noHBand="0" w:noVBand="1"/>
      </w:tblPr>
      <w:tblGrid>
        <w:gridCol w:w="8787"/>
      </w:tblGrid>
      <w:tr w:rsidR="00151E82" w14:paraId="4097AF40" w14:textId="77777777">
        <w:tc>
          <w:tcPr>
            <w:tcW w:w="9015" w:type="dxa"/>
          </w:tcPr>
          <w:p w14:paraId="4E0F6B64" w14:textId="2383D22A" w:rsidR="00151E82" w:rsidRDefault="00BF2DEB" w:rsidP="005C44F2">
            <w:pPr>
              <w:rPr>
                <w:lang w:eastAsia="en-AU"/>
              </w:rPr>
            </w:pPr>
            <w:r>
              <w:rPr>
                <w:b/>
                <w:bCs/>
                <w:u w:val="single"/>
                <w:lang w:eastAsia="en-AU"/>
              </w:rPr>
              <w:t>IMPACT OF ORAL HEALTH</w:t>
            </w:r>
            <w:r w:rsidR="00202D19" w:rsidRPr="00202D19">
              <w:rPr>
                <w:b/>
                <w:bCs/>
                <w:u w:val="single"/>
                <w:lang w:eastAsia="en-AU"/>
              </w:rPr>
              <w:t xml:space="preserve"> ON WELLBEING </w:t>
            </w:r>
            <w:r>
              <w:rPr>
                <w:b/>
                <w:bCs/>
                <w:u w:val="single"/>
                <w:lang w:eastAsia="en-AU"/>
              </w:rPr>
              <w:t>OF</w:t>
            </w:r>
            <w:r w:rsidR="00202D19" w:rsidRPr="00202D19">
              <w:rPr>
                <w:b/>
                <w:bCs/>
                <w:u w:val="single"/>
                <w:lang w:eastAsia="en-AU"/>
              </w:rPr>
              <w:t xml:space="preserve"> KELLYVILLE DEMENTIA RESIDENTS</w:t>
            </w:r>
            <w:r>
              <w:rPr>
                <w:b/>
                <w:bCs/>
                <w:u w:val="single"/>
                <w:lang w:eastAsia="en-AU"/>
              </w:rPr>
              <w:t xml:space="preserve">: </w:t>
            </w:r>
            <w:r>
              <w:rPr>
                <w:b/>
                <w:bCs/>
                <w:u w:val="single"/>
              </w:rPr>
              <w:t>A</w:t>
            </w:r>
            <w:r w:rsidR="003F1FB8">
              <w:rPr>
                <w:b/>
                <w:bCs/>
                <w:u w:val="single"/>
              </w:rPr>
              <w:t>N</w:t>
            </w:r>
            <w:r>
              <w:rPr>
                <w:b/>
                <w:bCs/>
                <w:u w:val="single"/>
              </w:rPr>
              <w:t xml:space="preserve"> </w:t>
            </w:r>
            <w:r w:rsidRPr="00BF2DEB">
              <w:rPr>
                <w:b/>
                <w:bCs/>
                <w:u w:val="single"/>
                <w:lang w:eastAsia="en-AU"/>
              </w:rPr>
              <w:t>OBSERVATIONAL COHORT STUDY</w:t>
            </w:r>
          </w:p>
        </w:tc>
      </w:tr>
    </w:tbl>
    <w:p w14:paraId="162AEE83" w14:textId="77777777" w:rsidR="005F3F34" w:rsidRPr="00DA354F" w:rsidRDefault="00DB6E46" w:rsidP="005F3F34">
      <w:pPr>
        <w:pStyle w:val="Heading1"/>
        <w:numPr>
          <w:ilvl w:val="0"/>
          <w:numId w:val="0"/>
        </w:numPr>
        <w:spacing w:line="240" w:lineRule="auto"/>
        <w:rPr>
          <w:b/>
          <w:bCs w:val="0"/>
          <w:lang w:eastAsia="en-AU"/>
        </w:rPr>
      </w:pPr>
      <w:r w:rsidRPr="00DA354F">
        <w:rPr>
          <w:b/>
          <w:bCs w:val="0"/>
          <w:lang w:eastAsia="en-AU"/>
        </w:rPr>
        <w:t>Introduction</w:t>
      </w:r>
    </w:p>
    <w:tbl>
      <w:tblPr>
        <w:tblW w:w="0" w:type="auto"/>
        <w:tblLook w:val="04A0" w:firstRow="1" w:lastRow="0" w:firstColumn="1" w:lastColumn="0" w:noHBand="0" w:noVBand="1"/>
      </w:tblPr>
      <w:tblGrid>
        <w:gridCol w:w="8787"/>
      </w:tblGrid>
      <w:tr w:rsidR="005F3F34" w14:paraId="70919D6B" w14:textId="77777777" w:rsidTr="00DD1C70">
        <w:tc>
          <w:tcPr>
            <w:tcW w:w="9015" w:type="dxa"/>
          </w:tcPr>
          <w:p w14:paraId="7A110EE3" w14:textId="77777777" w:rsidR="00202D19" w:rsidRPr="00202D19" w:rsidRDefault="00202D19" w:rsidP="00202D19">
            <w:pPr>
              <w:rPr>
                <w:noProof/>
                <w:lang w:eastAsia="en-AU"/>
              </w:rPr>
            </w:pPr>
            <w:r w:rsidRPr="00202D19">
              <w:rPr>
                <w:noProof/>
                <w:lang w:eastAsia="en-AU"/>
              </w:rPr>
              <w:t xml:space="preserve">Oral health is a crucial yet often overlooked factor in the wellbeing of elderly individuals in aged care, where over half of residents have dementia. Those with dementia remain in aged care five times longer (AIHW; 2023). Oral health issues, such as tooth decay, gum disease, and tooth loss, can significantly impact not only physical health but also emotional and social wellbeing. Poor oral health in the elderly has been linked to a range of systemic health problems, including cardiovascular diseases, respiratory infections, and diabetes (AIHW; 2023). </w:t>
            </w:r>
          </w:p>
          <w:p w14:paraId="7B750EFA" w14:textId="77777777" w:rsidR="00202D19" w:rsidRPr="00202D19" w:rsidRDefault="00202D19" w:rsidP="00202D19">
            <w:pPr>
              <w:rPr>
                <w:noProof/>
                <w:lang w:eastAsia="en-AU"/>
              </w:rPr>
            </w:pPr>
            <w:r w:rsidRPr="00202D19">
              <w:rPr>
                <w:noProof/>
                <w:lang w:eastAsia="en-AU"/>
              </w:rPr>
              <w:t>The direct impact of oral health on elderly wellbeing in institutional settings remains underexplored (WHO, 2023). Moreover, oral health issues can lead to pain, difficulty in eating, and diminished self-esteem, all of which can negatively impact the overall wellbeing of elderly individuals (Janto et al., 2022). However, while these connections are well-documented, gaps exist in improving access to dental services and fostering collaboration. Additionally, there is insufficient focus on elderly individuals' specific needs, such as reduced mobility and cognitive decline, which can worsen oral health issues and affect overall health (Jockusch et al., 2021).</w:t>
            </w:r>
          </w:p>
          <w:p w14:paraId="54CC780B" w14:textId="24B71189" w:rsidR="00202D19" w:rsidRPr="00202D19" w:rsidRDefault="00202D19" w:rsidP="00202D19">
            <w:pPr>
              <w:rPr>
                <w:noProof/>
                <w:lang w:eastAsia="en-AU"/>
              </w:rPr>
            </w:pPr>
            <w:r w:rsidRPr="00202D19">
              <w:rPr>
                <w:noProof/>
                <w:lang w:eastAsia="en-AU"/>
              </w:rPr>
              <w:lastRenderedPageBreak/>
              <w:t xml:space="preserve">Research also indicates that elderly individuals in aged care centres often experience significant barriers to maintaining good oral health, including limited access to dental care, lack of regular dental check-ups, and insufficient oral hygiene practices due to physical or cognitive impairments (Patterson Norrie et al., 2019). These challenges highlight the need for research on oral health and its broader implications for the wellbeing of dementia patients in Kellyville, as current literature lacks specific studies on this direct impact </w:t>
            </w:r>
            <w:r w:rsidR="00B655EC">
              <w:rPr>
                <w:noProof/>
                <w:lang w:eastAsia="en-AU"/>
              </w:rPr>
              <w:t>o</w:t>
            </w:r>
            <w:r w:rsidRPr="00202D19">
              <w:rPr>
                <w:noProof/>
                <w:lang w:eastAsia="en-AU"/>
              </w:rPr>
              <w:t>n aged care settings.</w:t>
            </w:r>
          </w:p>
          <w:p w14:paraId="080CDD47" w14:textId="738CC290" w:rsidR="005F3F34" w:rsidRDefault="005F3F34" w:rsidP="00D01634">
            <w:pPr>
              <w:rPr>
                <w:lang w:eastAsia="en-AU"/>
              </w:rPr>
            </w:pPr>
          </w:p>
        </w:tc>
      </w:tr>
    </w:tbl>
    <w:p w14:paraId="1D510DA8" w14:textId="77777777" w:rsidR="00151E82" w:rsidRPr="00DA354F" w:rsidRDefault="00FB746C">
      <w:pPr>
        <w:pStyle w:val="Heading1"/>
        <w:numPr>
          <w:ilvl w:val="0"/>
          <w:numId w:val="0"/>
        </w:numPr>
        <w:spacing w:line="240" w:lineRule="auto"/>
        <w:rPr>
          <w:b/>
          <w:bCs w:val="0"/>
          <w:lang w:eastAsia="en-AU"/>
        </w:rPr>
      </w:pPr>
      <w:r w:rsidRPr="00DA354F">
        <w:rPr>
          <w:b/>
          <w:bCs w:val="0"/>
          <w:lang w:eastAsia="en-AU"/>
        </w:rPr>
        <w:lastRenderedPageBreak/>
        <w:t>Research question</w:t>
      </w:r>
    </w:p>
    <w:tbl>
      <w:tblPr>
        <w:tblW w:w="0" w:type="auto"/>
        <w:tblLook w:val="04A0" w:firstRow="1" w:lastRow="0" w:firstColumn="1" w:lastColumn="0" w:noHBand="0" w:noVBand="1"/>
      </w:tblPr>
      <w:tblGrid>
        <w:gridCol w:w="8787"/>
      </w:tblGrid>
      <w:tr w:rsidR="00151E82" w14:paraId="25C65D3F" w14:textId="77777777">
        <w:tc>
          <w:tcPr>
            <w:tcW w:w="9570" w:type="dxa"/>
          </w:tcPr>
          <w:p w14:paraId="49859C34" w14:textId="4165BCC9" w:rsidR="00151E82" w:rsidRDefault="00202D19" w:rsidP="00E55A1B">
            <w:pPr>
              <w:rPr>
                <w:lang w:eastAsia="en-AU"/>
              </w:rPr>
            </w:pPr>
            <w:r w:rsidRPr="00202D19">
              <w:rPr>
                <w:noProof/>
                <w:lang w:eastAsia="en-AU"/>
              </w:rPr>
              <w:t>How does oral health influence the overall wellbeing of elderly individuals with dementia residing in aged care centres in Kellyville?</w:t>
            </w:r>
          </w:p>
        </w:tc>
      </w:tr>
    </w:tbl>
    <w:p w14:paraId="45F3F202" w14:textId="71C57D08" w:rsidR="00151E82" w:rsidRPr="00DA354F" w:rsidRDefault="00192731">
      <w:pPr>
        <w:pStyle w:val="Heading1"/>
        <w:numPr>
          <w:ilvl w:val="0"/>
          <w:numId w:val="0"/>
        </w:numPr>
        <w:spacing w:line="240" w:lineRule="auto"/>
        <w:rPr>
          <w:b/>
          <w:bCs w:val="0"/>
          <w:lang w:eastAsia="en-AU"/>
        </w:rPr>
      </w:pPr>
      <w:r w:rsidRPr="00DA354F">
        <w:rPr>
          <w:b/>
          <w:bCs w:val="0"/>
          <w:lang w:eastAsia="en-AU"/>
        </w:rPr>
        <w:t>A</w:t>
      </w:r>
      <w:r w:rsidR="00BA43C4" w:rsidRPr="00DA354F">
        <w:rPr>
          <w:b/>
          <w:bCs w:val="0"/>
          <w:lang w:eastAsia="en-AU"/>
        </w:rPr>
        <w:t>ims</w:t>
      </w:r>
      <w:r w:rsidR="00396F38" w:rsidRPr="00DA354F">
        <w:rPr>
          <w:b/>
          <w:bCs w:val="0"/>
          <w:lang w:eastAsia="en-AU"/>
        </w:rPr>
        <w:t xml:space="preserve"> </w:t>
      </w:r>
    </w:p>
    <w:tbl>
      <w:tblPr>
        <w:tblW w:w="0" w:type="auto"/>
        <w:tblLook w:val="04A0" w:firstRow="1" w:lastRow="0" w:firstColumn="1" w:lastColumn="0" w:noHBand="0" w:noVBand="1"/>
      </w:tblPr>
      <w:tblGrid>
        <w:gridCol w:w="8787"/>
      </w:tblGrid>
      <w:tr w:rsidR="00151E82" w14:paraId="7708391D" w14:textId="77777777">
        <w:tc>
          <w:tcPr>
            <w:tcW w:w="9003" w:type="dxa"/>
          </w:tcPr>
          <w:p w14:paraId="4998051D" w14:textId="77777777" w:rsidR="00202D19" w:rsidRPr="00202D19" w:rsidRDefault="00202D19" w:rsidP="00202D19">
            <w:pPr>
              <w:numPr>
                <w:ilvl w:val="0"/>
                <w:numId w:val="17"/>
              </w:numPr>
              <w:rPr>
                <w:lang w:eastAsia="en-AU"/>
              </w:rPr>
            </w:pPr>
            <w:r w:rsidRPr="00202D19">
              <w:rPr>
                <w:lang w:eastAsia="en-AU"/>
              </w:rPr>
              <w:t>To assess oral health and its impact on wellbeing of elderly residents with dementia in aged care centres.</w:t>
            </w:r>
          </w:p>
          <w:p w14:paraId="71D7758C" w14:textId="613AF85F" w:rsidR="00202D19" w:rsidRDefault="00202D19" w:rsidP="00202D19">
            <w:pPr>
              <w:numPr>
                <w:ilvl w:val="0"/>
                <w:numId w:val="17"/>
              </w:numPr>
              <w:rPr>
                <w:lang w:eastAsia="en-AU"/>
              </w:rPr>
            </w:pPr>
            <w:r w:rsidRPr="00202D19">
              <w:rPr>
                <w:lang w:eastAsia="en-AU"/>
              </w:rPr>
              <w:t>Identify potential interventions that could improve oral health and, overall quality of life.</w:t>
            </w:r>
            <w:r w:rsidR="009D2655">
              <w:t xml:space="preserve"> </w:t>
            </w:r>
            <w:r w:rsidR="009D2655" w:rsidRPr="009D2655">
              <w:rPr>
                <w:lang w:eastAsia="en-AU"/>
              </w:rPr>
              <w:t>(Foltyn, 2015)</w:t>
            </w:r>
          </w:p>
          <w:p w14:paraId="650E6136" w14:textId="77777777" w:rsidR="00202D19" w:rsidRDefault="00202D19" w:rsidP="00202D19">
            <w:pPr>
              <w:numPr>
                <w:ilvl w:val="0"/>
                <w:numId w:val="17"/>
              </w:numPr>
              <w:rPr>
                <w:lang w:eastAsia="en-AU"/>
              </w:rPr>
            </w:pPr>
            <w:r w:rsidRPr="00202D19">
              <w:rPr>
                <w:lang w:eastAsia="en-AU"/>
              </w:rPr>
              <w:t>Provide Evidence-based guidelines for improve protocols for healthcare provider.</w:t>
            </w:r>
          </w:p>
          <w:p w14:paraId="39A74482" w14:textId="77777777" w:rsidR="00062816" w:rsidRDefault="00062816" w:rsidP="00202D19">
            <w:pPr>
              <w:rPr>
                <w:sz w:val="28"/>
                <w:szCs w:val="28"/>
                <w:lang w:eastAsia="en-AU"/>
              </w:rPr>
            </w:pPr>
          </w:p>
          <w:p w14:paraId="3D87BEC8" w14:textId="77777777" w:rsidR="00062816" w:rsidRDefault="00062816" w:rsidP="00202D19">
            <w:pPr>
              <w:rPr>
                <w:sz w:val="28"/>
                <w:szCs w:val="28"/>
                <w:lang w:eastAsia="en-AU"/>
              </w:rPr>
            </w:pPr>
          </w:p>
          <w:p w14:paraId="676BF65D" w14:textId="60FBF8E1" w:rsidR="00202D19" w:rsidRPr="00DA354F" w:rsidRDefault="00202D19" w:rsidP="00202D19">
            <w:pPr>
              <w:rPr>
                <w:b/>
                <w:bCs/>
                <w:sz w:val="28"/>
                <w:szCs w:val="28"/>
                <w:lang w:eastAsia="en-AU"/>
              </w:rPr>
            </w:pPr>
            <w:r w:rsidRPr="00DA354F">
              <w:rPr>
                <w:b/>
                <w:bCs/>
                <w:sz w:val="28"/>
                <w:szCs w:val="28"/>
                <w:lang w:eastAsia="en-AU"/>
              </w:rPr>
              <w:lastRenderedPageBreak/>
              <w:t>BENEFITS:</w:t>
            </w:r>
          </w:p>
          <w:p w14:paraId="7DCE968F" w14:textId="650025C2" w:rsidR="00062816" w:rsidRPr="00062816" w:rsidRDefault="00062816" w:rsidP="00902BBB">
            <w:pPr>
              <w:pStyle w:val="ListParagraph"/>
              <w:numPr>
                <w:ilvl w:val="0"/>
                <w:numId w:val="22"/>
              </w:numPr>
              <w:rPr>
                <w:szCs w:val="24"/>
                <w:lang w:eastAsia="en-AU"/>
              </w:rPr>
            </w:pPr>
            <w:r w:rsidRPr="00062816">
              <w:rPr>
                <w:szCs w:val="24"/>
                <w:lang w:eastAsia="en-AU"/>
              </w:rPr>
              <w:t xml:space="preserve">The improved oral health status of the population will contribute positively to the general physical and mental health status of the </w:t>
            </w:r>
            <w:r w:rsidR="00C87CB0" w:rsidRPr="00062816">
              <w:rPr>
                <w:szCs w:val="24"/>
                <w:lang w:eastAsia="en-AU"/>
              </w:rPr>
              <w:t>population</w:t>
            </w:r>
            <w:r w:rsidR="00C87CB0">
              <w:rPr>
                <w:szCs w:val="24"/>
                <w:lang w:eastAsia="en-AU"/>
              </w:rPr>
              <w:t>.</w:t>
            </w:r>
            <w:r w:rsidR="00C87CB0" w:rsidRPr="003E3C9F">
              <w:rPr>
                <w:szCs w:val="24"/>
                <w:lang w:eastAsia="en-AU"/>
              </w:rPr>
              <w:t xml:space="preserve"> (</w:t>
            </w:r>
            <w:proofErr w:type="spellStart"/>
            <w:r w:rsidR="003E3C9F" w:rsidRPr="003E3C9F">
              <w:rPr>
                <w:szCs w:val="24"/>
                <w:lang w:eastAsia="en-AU"/>
              </w:rPr>
              <w:t>Delwel</w:t>
            </w:r>
            <w:proofErr w:type="spellEnd"/>
            <w:r w:rsidR="003E3C9F" w:rsidRPr="003E3C9F">
              <w:rPr>
                <w:szCs w:val="24"/>
                <w:lang w:eastAsia="en-AU"/>
              </w:rPr>
              <w:t xml:space="preserve"> et al., 2017)</w:t>
            </w:r>
          </w:p>
          <w:p w14:paraId="3A981270" w14:textId="2D85EBB1" w:rsidR="00202D19" w:rsidRPr="00DA354F" w:rsidRDefault="00062816" w:rsidP="00202D19">
            <w:pPr>
              <w:pStyle w:val="ListParagraph"/>
              <w:numPr>
                <w:ilvl w:val="0"/>
                <w:numId w:val="22"/>
              </w:numPr>
              <w:rPr>
                <w:szCs w:val="24"/>
                <w:lang w:eastAsia="en-AU"/>
              </w:rPr>
            </w:pPr>
            <w:r w:rsidRPr="00062816">
              <w:rPr>
                <w:szCs w:val="24"/>
                <w:lang w:eastAsia="en-AU"/>
              </w:rPr>
              <w:t>Early diagnosis and management of the problems may prevent systemic complications and improve health in general</w:t>
            </w:r>
            <w:r w:rsidR="003E3C9F">
              <w:rPr>
                <w:szCs w:val="24"/>
                <w:lang w:eastAsia="en-AU"/>
              </w:rPr>
              <w:t xml:space="preserve">. </w:t>
            </w:r>
            <w:r w:rsidR="003E3C9F" w:rsidRPr="003E3C9F">
              <w:rPr>
                <w:szCs w:val="24"/>
                <w:lang w:eastAsia="en-AU"/>
              </w:rPr>
              <w:t>(</w:t>
            </w:r>
            <w:proofErr w:type="spellStart"/>
            <w:r w:rsidR="003E3C9F" w:rsidRPr="003E3C9F">
              <w:rPr>
                <w:szCs w:val="24"/>
                <w:lang w:eastAsia="en-AU"/>
              </w:rPr>
              <w:t>Delwel</w:t>
            </w:r>
            <w:proofErr w:type="spellEnd"/>
            <w:r w:rsidR="003E3C9F" w:rsidRPr="003E3C9F">
              <w:rPr>
                <w:szCs w:val="24"/>
                <w:lang w:eastAsia="en-AU"/>
              </w:rPr>
              <w:t xml:space="preserve"> et al., 2017)</w:t>
            </w:r>
          </w:p>
        </w:tc>
      </w:tr>
    </w:tbl>
    <w:p w14:paraId="1183F2FE" w14:textId="41B1ED30" w:rsidR="00151E82" w:rsidRPr="00902BBB" w:rsidRDefault="00FB746C">
      <w:pPr>
        <w:pStyle w:val="Heading1"/>
        <w:numPr>
          <w:ilvl w:val="0"/>
          <w:numId w:val="0"/>
        </w:numPr>
        <w:spacing w:line="240" w:lineRule="auto"/>
        <w:rPr>
          <w:b/>
          <w:bCs w:val="0"/>
          <w:lang w:eastAsia="en-AU"/>
        </w:rPr>
      </w:pPr>
      <w:r w:rsidRPr="00902BBB">
        <w:rPr>
          <w:b/>
          <w:bCs w:val="0"/>
          <w:lang w:eastAsia="en-AU"/>
        </w:rPr>
        <w:lastRenderedPageBreak/>
        <w:t>Design</w:t>
      </w:r>
      <w:r w:rsidR="00E345BC" w:rsidRPr="00902BBB">
        <w:rPr>
          <w:b/>
          <w:bCs w:val="0"/>
          <w:lang w:eastAsia="en-AU"/>
        </w:rPr>
        <w:t xml:space="preserve"> and setting</w:t>
      </w:r>
    </w:p>
    <w:tbl>
      <w:tblPr>
        <w:tblW w:w="0" w:type="auto"/>
        <w:tblLook w:val="04A0" w:firstRow="1" w:lastRow="0" w:firstColumn="1" w:lastColumn="0" w:noHBand="0" w:noVBand="1"/>
      </w:tblPr>
      <w:tblGrid>
        <w:gridCol w:w="8787"/>
      </w:tblGrid>
      <w:tr w:rsidR="00151E82" w14:paraId="4A6523AF" w14:textId="77777777">
        <w:tc>
          <w:tcPr>
            <w:tcW w:w="9003" w:type="dxa"/>
          </w:tcPr>
          <w:p w14:paraId="49BBC01D" w14:textId="46CC2B12" w:rsidR="00062816" w:rsidRDefault="00062816" w:rsidP="00062816">
            <w:pPr>
              <w:rPr>
                <w:lang w:eastAsia="en-AU"/>
              </w:rPr>
            </w:pPr>
            <w:r>
              <w:rPr>
                <w:lang w:eastAsia="en-AU"/>
              </w:rPr>
              <w:t>The current study will adopt an observational design, investigating the association of oral health with general well-being in aged care facility residents with dementia.</w:t>
            </w:r>
            <w:r w:rsidR="003E3C9F">
              <w:rPr>
                <w:lang w:eastAsia="en-AU"/>
              </w:rPr>
              <w:t xml:space="preserve"> D</w:t>
            </w:r>
            <w:r>
              <w:rPr>
                <w:lang w:eastAsia="en-AU"/>
              </w:rPr>
              <w:t xml:space="preserve">ata on dental assessment and well-being questionnaires will be collected </w:t>
            </w:r>
            <w:r w:rsidR="003E3C9F">
              <w:rPr>
                <w:lang w:eastAsia="en-AU"/>
              </w:rPr>
              <w:t>to</w:t>
            </w:r>
            <w:r>
              <w:rPr>
                <w:lang w:eastAsia="en-AU"/>
              </w:rPr>
              <w:t xml:space="preserve"> observe trends without interference with the natural setting. A random sampling technique will be used </w:t>
            </w:r>
            <w:r w:rsidR="003E3C9F">
              <w:rPr>
                <w:lang w:eastAsia="en-AU"/>
              </w:rPr>
              <w:t>to</w:t>
            </w:r>
            <w:r>
              <w:rPr>
                <w:lang w:eastAsia="en-AU"/>
              </w:rPr>
              <w:t xml:space="preserve"> reduce bias and </w:t>
            </w:r>
            <w:r w:rsidR="00C4158F">
              <w:rPr>
                <w:lang w:eastAsia="en-AU"/>
              </w:rPr>
              <w:t>several</w:t>
            </w:r>
            <w:r>
              <w:rPr>
                <w:lang w:eastAsia="en-AU"/>
              </w:rPr>
              <w:t xml:space="preserve"> threats to validity.</w:t>
            </w:r>
          </w:p>
          <w:p w14:paraId="3D7EF40B" w14:textId="461CBB3D" w:rsidR="00041B30" w:rsidRDefault="00BF2DEB" w:rsidP="00062816">
            <w:pPr>
              <w:rPr>
                <w:lang w:eastAsia="en-AU"/>
              </w:rPr>
            </w:pPr>
            <w:r w:rsidRPr="00BF2DEB">
              <w:rPr>
                <w:lang w:eastAsia="en-AU"/>
              </w:rPr>
              <w:t xml:space="preserve">The </w:t>
            </w:r>
            <w:r>
              <w:rPr>
                <w:lang w:eastAsia="en-AU"/>
              </w:rPr>
              <w:t>investigation</w:t>
            </w:r>
            <w:r w:rsidRPr="00BF2DEB">
              <w:rPr>
                <w:lang w:eastAsia="en-AU"/>
              </w:rPr>
              <w:t xml:space="preserve"> will be conducted at dementia care homes in Kellyville, specifically a</w:t>
            </w:r>
            <w:r>
              <w:rPr>
                <w:lang w:eastAsia="en-AU"/>
              </w:rPr>
              <w:t>t</w:t>
            </w:r>
            <w:r w:rsidRPr="00BF2DEB">
              <w:rPr>
                <w:lang w:eastAsia="en-AU"/>
              </w:rPr>
              <w:t xml:space="preserve"> Moran Aged Care Kellyville</w:t>
            </w:r>
            <w:r w:rsidR="00062816">
              <w:rPr>
                <w:lang w:eastAsia="en-AU"/>
              </w:rPr>
              <w:t xml:space="preserve">. The participants will be recruited from this facility and their data will also be collected here. </w:t>
            </w:r>
            <w:r w:rsidR="00062816" w:rsidRPr="003E3C9F">
              <w:rPr>
                <w:lang w:eastAsia="en-AU"/>
              </w:rPr>
              <w:t>Materials will be procured from various sources</w:t>
            </w:r>
            <w:r w:rsidR="003E3C9F" w:rsidRPr="003E3C9F">
              <w:rPr>
                <w:lang w:eastAsia="en-AU"/>
              </w:rPr>
              <w:t xml:space="preserve"> such as dental assessment tools, and sterile disposable kit </w:t>
            </w:r>
            <w:r w:rsidR="003E3C9F">
              <w:rPr>
                <w:lang w:eastAsia="en-AU"/>
              </w:rPr>
              <w:t xml:space="preserve">and survey platforms </w:t>
            </w:r>
            <w:r w:rsidR="00062816" w:rsidRPr="003E3C9F">
              <w:rPr>
                <w:lang w:eastAsia="en-AU"/>
              </w:rPr>
              <w:t>to reduce bias.</w:t>
            </w:r>
          </w:p>
        </w:tc>
      </w:tr>
    </w:tbl>
    <w:p w14:paraId="2516DAAD" w14:textId="77777777" w:rsidR="00151E82" w:rsidRPr="00902BBB" w:rsidRDefault="00FB746C">
      <w:pPr>
        <w:pStyle w:val="Heading1"/>
        <w:numPr>
          <w:ilvl w:val="0"/>
          <w:numId w:val="0"/>
        </w:numPr>
        <w:spacing w:line="240" w:lineRule="auto"/>
        <w:rPr>
          <w:b/>
          <w:bCs w:val="0"/>
          <w:lang w:eastAsia="en-AU"/>
        </w:rPr>
      </w:pPr>
      <w:r w:rsidRPr="00902BBB">
        <w:rPr>
          <w:b/>
          <w:bCs w:val="0"/>
          <w:lang w:eastAsia="en-AU"/>
        </w:rPr>
        <w:t>Sampl</w:t>
      </w:r>
      <w:r w:rsidR="008B3F9E" w:rsidRPr="00902BBB">
        <w:rPr>
          <w:b/>
          <w:bCs w:val="0"/>
          <w:lang w:eastAsia="en-AU"/>
        </w:rPr>
        <w:t>ing</w:t>
      </w:r>
    </w:p>
    <w:tbl>
      <w:tblPr>
        <w:tblW w:w="0" w:type="auto"/>
        <w:tblLook w:val="04A0" w:firstRow="1" w:lastRow="0" w:firstColumn="1" w:lastColumn="0" w:noHBand="0" w:noVBand="1"/>
      </w:tblPr>
      <w:tblGrid>
        <w:gridCol w:w="8787"/>
      </w:tblGrid>
      <w:tr w:rsidR="00151E82" w14:paraId="58EF7E60" w14:textId="77777777">
        <w:tc>
          <w:tcPr>
            <w:tcW w:w="9003" w:type="dxa"/>
          </w:tcPr>
          <w:p w14:paraId="78CFDA1D" w14:textId="5AD12AE1" w:rsidR="00734341" w:rsidRDefault="00062816" w:rsidP="00281F82">
            <w:pPr>
              <w:rPr>
                <w:lang w:eastAsia="en-AU"/>
              </w:rPr>
            </w:pPr>
            <w:r w:rsidRPr="00062816">
              <w:rPr>
                <w:lang w:eastAsia="en-AU"/>
              </w:rPr>
              <w:t xml:space="preserve">The sample will comprise 50-100 dementia patients aged 65+, sampled from Kellyville aged care centres. The inclusion criteria will include those participants </w:t>
            </w:r>
            <w:r w:rsidRPr="00062816">
              <w:rPr>
                <w:lang w:eastAsia="en-AU"/>
              </w:rPr>
              <w:lastRenderedPageBreak/>
              <w:t>who can tolerate an oral health assessment. Exclusion criteria include participants who have had recent dental treatment or have serious medical conditions</w:t>
            </w:r>
            <w:r w:rsidR="003E3C9F">
              <w:rPr>
                <w:lang w:eastAsia="en-AU"/>
              </w:rPr>
              <w:t xml:space="preserve"> such as cardiovascular diseases, uncontrolled diabetes or severe respiratory illness</w:t>
            </w:r>
            <w:r w:rsidRPr="00062816">
              <w:rPr>
                <w:lang w:eastAsia="en-AU"/>
              </w:rPr>
              <w:t>.</w:t>
            </w:r>
            <w:r w:rsidR="003E3C9F">
              <w:t xml:space="preserve"> </w:t>
            </w:r>
            <w:r w:rsidR="003E3C9F" w:rsidRPr="003E3C9F">
              <w:rPr>
                <w:lang w:eastAsia="en-AU"/>
              </w:rPr>
              <w:t>(</w:t>
            </w:r>
            <w:proofErr w:type="spellStart"/>
            <w:r w:rsidR="003E3C9F" w:rsidRPr="003E3C9F">
              <w:rPr>
                <w:lang w:eastAsia="en-AU"/>
              </w:rPr>
              <w:t>Delwel</w:t>
            </w:r>
            <w:proofErr w:type="spellEnd"/>
            <w:r w:rsidR="003E3C9F" w:rsidRPr="003E3C9F">
              <w:rPr>
                <w:lang w:eastAsia="en-AU"/>
              </w:rPr>
              <w:t xml:space="preserve"> et al., 2017)</w:t>
            </w:r>
            <w:r w:rsidRPr="00062816">
              <w:rPr>
                <w:lang w:eastAsia="en-AU"/>
              </w:rPr>
              <w:t xml:space="preserve"> </w:t>
            </w:r>
            <w:r w:rsidR="00BF2DEB">
              <w:rPr>
                <w:lang w:eastAsia="en-AU"/>
              </w:rPr>
              <w:t>Participants</w:t>
            </w:r>
            <w:r w:rsidRPr="00062816">
              <w:rPr>
                <w:lang w:eastAsia="en-AU"/>
              </w:rPr>
              <w:t xml:space="preserve"> will be recruited through aged care facilities to get a representative sample of all levels of severity of dementia. Retention strategies will be </w:t>
            </w:r>
            <w:r w:rsidRPr="00062816">
              <w:rPr>
                <w:lang w:eastAsia="en-AU"/>
              </w:rPr>
              <w:t>applied,</w:t>
            </w:r>
            <w:r w:rsidRPr="00062816">
              <w:rPr>
                <w:lang w:eastAsia="en-AU"/>
              </w:rPr>
              <w:t xml:space="preserve"> if necessary, along with follow-up assessments.</w:t>
            </w:r>
          </w:p>
        </w:tc>
      </w:tr>
    </w:tbl>
    <w:p w14:paraId="76CFFBD1" w14:textId="77777777" w:rsidR="00151E82" w:rsidRPr="00902BBB" w:rsidRDefault="00FB746C">
      <w:pPr>
        <w:pStyle w:val="Heading1"/>
        <w:numPr>
          <w:ilvl w:val="0"/>
          <w:numId w:val="0"/>
        </w:numPr>
        <w:spacing w:line="240" w:lineRule="auto"/>
        <w:rPr>
          <w:b/>
          <w:bCs w:val="0"/>
          <w:lang w:eastAsia="en-AU"/>
        </w:rPr>
      </w:pPr>
      <w:r w:rsidRPr="00902BBB">
        <w:rPr>
          <w:b/>
          <w:bCs w:val="0"/>
          <w:lang w:eastAsia="en-AU"/>
        </w:rPr>
        <w:lastRenderedPageBreak/>
        <w:t>Measures and materials</w:t>
      </w:r>
    </w:p>
    <w:tbl>
      <w:tblPr>
        <w:tblW w:w="0" w:type="auto"/>
        <w:tblLook w:val="04A0" w:firstRow="1" w:lastRow="0" w:firstColumn="1" w:lastColumn="0" w:noHBand="0" w:noVBand="1"/>
      </w:tblPr>
      <w:tblGrid>
        <w:gridCol w:w="8787"/>
      </w:tblGrid>
      <w:tr w:rsidR="00DB6E46" w14:paraId="2962BBC5" w14:textId="77777777" w:rsidTr="00DD1C70">
        <w:tc>
          <w:tcPr>
            <w:tcW w:w="9003" w:type="dxa"/>
          </w:tcPr>
          <w:p w14:paraId="521C1DEC" w14:textId="20211844" w:rsidR="00062816" w:rsidRDefault="00062816" w:rsidP="00902BBB">
            <w:pPr>
              <w:pStyle w:val="ListParagraph"/>
              <w:numPr>
                <w:ilvl w:val="0"/>
                <w:numId w:val="21"/>
              </w:numPr>
              <w:rPr>
                <w:lang w:eastAsia="en-AU"/>
              </w:rPr>
            </w:pPr>
            <w:r>
              <w:rPr>
                <w:lang w:eastAsia="en-AU"/>
              </w:rPr>
              <w:t xml:space="preserve">The Oral Health Assessment Chart and Tool </w:t>
            </w:r>
            <w:r w:rsidR="00BF2DEB">
              <w:rPr>
                <w:lang w:eastAsia="en-AU"/>
              </w:rPr>
              <w:t>(OHAT)</w:t>
            </w:r>
            <w:r>
              <w:rPr>
                <w:lang w:eastAsia="en-AU"/>
              </w:rPr>
              <w:t>is the common standardized tool in assessing participants through the Oral Health Assessment Tool.</w:t>
            </w:r>
            <w:r w:rsidR="003E3C9F">
              <w:t xml:space="preserve"> </w:t>
            </w:r>
            <w:r w:rsidR="003E3C9F" w:rsidRPr="003E3C9F">
              <w:rPr>
                <w:lang w:eastAsia="en-AU"/>
              </w:rPr>
              <w:t>(Chalmers et al., 2005)</w:t>
            </w:r>
          </w:p>
          <w:p w14:paraId="1BB4BDE1" w14:textId="767CDDB3" w:rsidR="00062816" w:rsidRDefault="00062816" w:rsidP="00902BBB">
            <w:pPr>
              <w:pStyle w:val="ListParagraph"/>
              <w:numPr>
                <w:ilvl w:val="0"/>
                <w:numId w:val="21"/>
              </w:numPr>
              <w:rPr>
                <w:lang w:eastAsia="en-AU"/>
              </w:rPr>
            </w:pPr>
            <w:r>
              <w:rPr>
                <w:lang w:eastAsia="en-AU"/>
              </w:rPr>
              <w:t xml:space="preserve"> Dental mirror </w:t>
            </w:r>
            <w:r w:rsidR="00DA354F">
              <w:rPr>
                <w:lang w:eastAsia="en-AU"/>
              </w:rPr>
              <w:t xml:space="preserve">(visual) </w:t>
            </w:r>
            <w:r>
              <w:rPr>
                <w:lang w:eastAsia="en-AU"/>
              </w:rPr>
              <w:t>and probe</w:t>
            </w:r>
            <w:r w:rsidR="00DA354F">
              <w:rPr>
                <w:lang w:eastAsia="en-AU"/>
              </w:rPr>
              <w:t>(tactile) instruments</w:t>
            </w:r>
            <w:r>
              <w:rPr>
                <w:lang w:eastAsia="en-AU"/>
              </w:rPr>
              <w:t xml:space="preserve"> for detailed oral inspections to assure accurate assessments.</w:t>
            </w:r>
          </w:p>
          <w:p w14:paraId="7FE51DBA" w14:textId="069AA4E1" w:rsidR="00062816" w:rsidRDefault="00062816" w:rsidP="00902BBB">
            <w:pPr>
              <w:pStyle w:val="ListParagraph"/>
              <w:numPr>
                <w:ilvl w:val="0"/>
                <w:numId w:val="21"/>
              </w:numPr>
              <w:rPr>
                <w:lang w:eastAsia="en-AU"/>
              </w:rPr>
            </w:pPr>
            <w:r>
              <w:rPr>
                <w:lang w:eastAsia="en-AU"/>
              </w:rPr>
              <w:t xml:space="preserve">Plaque </w:t>
            </w:r>
            <w:r w:rsidR="00DA354F">
              <w:rPr>
                <w:lang w:eastAsia="en-AU"/>
              </w:rPr>
              <w:t>a</w:t>
            </w:r>
            <w:r>
              <w:rPr>
                <w:lang w:eastAsia="en-AU"/>
              </w:rPr>
              <w:t>ssessment</w:t>
            </w:r>
            <w:r w:rsidR="00DA354F">
              <w:rPr>
                <w:lang w:eastAsia="en-AU"/>
              </w:rPr>
              <w:t xml:space="preserve"> is done </w:t>
            </w:r>
            <w:r>
              <w:rPr>
                <w:lang w:eastAsia="en-AU"/>
              </w:rPr>
              <w:t>through disclosing solution, which identifies the oral hygiene habit.</w:t>
            </w:r>
            <w:r w:rsidR="003E3C9F">
              <w:t xml:space="preserve"> </w:t>
            </w:r>
            <w:r w:rsidR="003E3C9F" w:rsidRPr="003E3C9F">
              <w:rPr>
                <w:lang w:eastAsia="en-AU"/>
              </w:rPr>
              <w:t>(</w:t>
            </w:r>
            <w:proofErr w:type="spellStart"/>
            <w:r w:rsidR="003E3C9F" w:rsidRPr="003E3C9F">
              <w:rPr>
                <w:lang w:eastAsia="en-AU"/>
              </w:rPr>
              <w:t>Delwel</w:t>
            </w:r>
            <w:proofErr w:type="spellEnd"/>
            <w:r w:rsidR="003E3C9F" w:rsidRPr="003E3C9F">
              <w:rPr>
                <w:lang w:eastAsia="en-AU"/>
              </w:rPr>
              <w:t xml:space="preserve"> et al., 2017)</w:t>
            </w:r>
          </w:p>
          <w:p w14:paraId="13B2633B" w14:textId="049E438B" w:rsidR="00062816" w:rsidRDefault="00062816" w:rsidP="00902BBB">
            <w:pPr>
              <w:pStyle w:val="ListParagraph"/>
              <w:numPr>
                <w:ilvl w:val="0"/>
                <w:numId w:val="21"/>
              </w:numPr>
              <w:rPr>
                <w:lang w:eastAsia="en-AU"/>
              </w:rPr>
            </w:pPr>
            <w:r>
              <w:rPr>
                <w:lang w:eastAsia="en-AU"/>
              </w:rPr>
              <w:t xml:space="preserve">Dementia </w:t>
            </w:r>
            <w:r w:rsidR="003E3C9F">
              <w:rPr>
                <w:lang w:eastAsia="en-AU"/>
              </w:rPr>
              <w:t xml:space="preserve">Knowledge </w:t>
            </w:r>
            <w:r>
              <w:rPr>
                <w:lang w:eastAsia="en-AU"/>
              </w:rPr>
              <w:t>Assessment Tool: to classify the severity regarding cognitive functioning for the participants.</w:t>
            </w:r>
            <w:r w:rsidR="003E3C9F" w:rsidRPr="003E3C9F">
              <w:rPr>
                <w:lang w:eastAsia="en-AU"/>
              </w:rPr>
              <w:t xml:space="preserve"> (</w:t>
            </w:r>
            <w:proofErr w:type="spellStart"/>
            <w:r w:rsidR="003E3C9F" w:rsidRPr="003E3C9F">
              <w:rPr>
                <w:lang w:eastAsia="en-AU"/>
              </w:rPr>
              <w:t>Tsatali</w:t>
            </w:r>
            <w:proofErr w:type="spellEnd"/>
            <w:r w:rsidR="003E3C9F" w:rsidRPr="003E3C9F">
              <w:rPr>
                <w:lang w:eastAsia="en-AU"/>
              </w:rPr>
              <w:t xml:space="preserve"> et al., 2023)</w:t>
            </w:r>
          </w:p>
          <w:p w14:paraId="3D958F3F" w14:textId="69BDEDAB" w:rsidR="00062816" w:rsidRDefault="00DA354F" w:rsidP="00902BBB">
            <w:pPr>
              <w:pStyle w:val="ListParagraph"/>
              <w:numPr>
                <w:ilvl w:val="0"/>
                <w:numId w:val="21"/>
              </w:numPr>
              <w:rPr>
                <w:lang w:eastAsia="en-AU"/>
              </w:rPr>
            </w:pPr>
            <w:r>
              <w:rPr>
                <w:lang w:eastAsia="en-AU"/>
              </w:rPr>
              <w:t xml:space="preserve"> A c</w:t>
            </w:r>
            <w:r w:rsidR="00062816">
              <w:rPr>
                <w:lang w:eastAsia="en-AU"/>
              </w:rPr>
              <w:t xml:space="preserve">aregiver </w:t>
            </w:r>
            <w:r>
              <w:rPr>
                <w:lang w:eastAsia="en-AU"/>
              </w:rPr>
              <w:t>s</w:t>
            </w:r>
            <w:r w:rsidR="00062816">
              <w:rPr>
                <w:lang w:eastAsia="en-AU"/>
              </w:rPr>
              <w:t xml:space="preserve">urvey questionnaire designed to obtain information from the caregivers regarding the oral health status and general health of the </w:t>
            </w:r>
            <w:r w:rsidR="00BF2DEB">
              <w:rPr>
                <w:lang w:eastAsia="en-AU"/>
              </w:rPr>
              <w:t>participants</w:t>
            </w:r>
            <w:r w:rsidR="00062816">
              <w:rPr>
                <w:lang w:eastAsia="en-AU"/>
              </w:rPr>
              <w:t>.</w:t>
            </w:r>
          </w:p>
          <w:p w14:paraId="2DA5424C" w14:textId="6D6432D2" w:rsidR="00062816" w:rsidRDefault="00062816" w:rsidP="00902BBB">
            <w:pPr>
              <w:pStyle w:val="ListParagraph"/>
              <w:numPr>
                <w:ilvl w:val="0"/>
                <w:numId w:val="21"/>
              </w:numPr>
              <w:rPr>
                <w:lang w:eastAsia="en-AU"/>
              </w:rPr>
            </w:pPr>
            <w:r>
              <w:rPr>
                <w:lang w:eastAsia="en-AU"/>
              </w:rPr>
              <w:t xml:space="preserve">Digital </w:t>
            </w:r>
            <w:r w:rsidR="00C4158F">
              <w:rPr>
                <w:lang w:eastAsia="en-AU"/>
              </w:rPr>
              <w:t>d</w:t>
            </w:r>
            <w:r>
              <w:rPr>
                <w:lang w:eastAsia="en-AU"/>
              </w:rPr>
              <w:t xml:space="preserve">ata </w:t>
            </w:r>
            <w:r w:rsidR="00C4158F">
              <w:rPr>
                <w:lang w:eastAsia="en-AU"/>
              </w:rPr>
              <w:t>e</w:t>
            </w:r>
            <w:r>
              <w:rPr>
                <w:lang w:eastAsia="en-AU"/>
              </w:rPr>
              <w:t>ntry therefore provides an electronic, secured platform for real-time data capture with the aim of ensuring real-time accuracy and access.</w:t>
            </w:r>
          </w:p>
          <w:p w14:paraId="37ED325B" w14:textId="77777777" w:rsidR="00062816" w:rsidRDefault="00062816" w:rsidP="00902BBB">
            <w:pPr>
              <w:pStyle w:val="ListParagraph"/>
              <w:numPr>
                <w:ilvl w:val="0"/>
                <w:numId w:val="21"/>
              </w:numPr>
              <w:rPr>
                <w:lang w:eastAsia="en-AU"/>
              </w:rPr>
            </w:pPr>
            <w:r>
              <w:rPr>
                <w:lang w:eastAsia="en-AU"/>
              </w:rPr>
              <w:lastRenderedPageBreak/>
              <w:t>The portable dental chair provides comfort and on-site oral assessment in the aged care facility.</w:t>
            </w:r>
          </w:p>
          <w:p w14:paraId="23FC840D" w14:textId="1093A9A9" w:rsidR="007D5900" w:rsidRDefault="00DA354F" w:rsidP="00DA354F">
            <w:pPr>
              <w:pStyle w:val="ListParagraph"/>
              <w:numPr>
                <w:ilvl w:val="0"/>
                <w:numId w:val="21"/>
              </w:numPr>
              <w:rPr>
                <w:lang w:eastAsia="en-AU"/>
              </w:rPr>
            </w:pPr>
            <w:r>
              <w:rPr>
                <w:lang w:eastAsia="en-AU"/>
              </w:rPr>
              <w:t xml:space="preserve"> A s</w:t>
            </w:r>
            <w:r w:rsidR="00062816">
              <w:rPr>
                <w:lang w:eastAsia="en-AU"/>
              </w:rPr>
              <w:t xml:space="preserve">terilized </w:t>
            </w:r>
            <w:r>
              <w:rPr>
                <w:lang w:eastAsia="en-AU"/>
              </w:rPr>
              <w:t>d</w:t>
            </w:r>
            <w:r w:rsidR="00062816">
              <w:rPr>
                <w:lang w:eastAsia="en-AU"/>
              </w:rPr>
              <w:t xml:space="preserve">ental </w:t>
            </w:r>
            <w:r>
              <w:rPr>
                <w:lang w:eastAsia="en-AU"/>
              </w:rPr>
              <w:t>k</w:t>
            </w:r>
            <w:r w:rsidR="00062816">
              <w:rPr>
                <w:lang w:eastAsia="en-AU"/>
              </w:rPr>
              <w:t xml:space="preserve">it for each evaluation, </w:t>
            </w:r>
            <w:r w:rsidR="00062816">
              <w:rPr>
                <w:lang w:eastAsia="en-AU"/>
              </w:rPr>
              <w:t>ensuring hygienic standards</w:t>
            </w:r>
            <w:r w:rsidR="00062816">
              <w:rPr>
                <w:lang w:eastAsia="en-AU"/>
              </w:rPr>
              <w:t xml:space="preserve">, and </w:t>
            </w:r>
            <w:r w:rsidR="00062816">
              <w:rPr>
                <w:lang w:eastAsia="en-AU"/>
              </w:rPr>
              <w:t>preventing</w:t>
            </w:r>
            <w:r w:rsidR="00062816">
              <w:rPr>
                <w:lang w:eastAsia="en-AU"/>
              </w:rPr>
              <w:t xml:space="preserve"> cross-contamination.</w:t>
            </w:r>
          </w:p>
        </w:tc>
      </w:tr>
    </w:tbl>
    <w:p w14:paraId="4BCA2E43" w14:textId="77777777" w:rsidR="00151E82" w:rsidRPr="00DA354F" w:rsidRDefault="00FB746C">
      <w:pPr>
        <w:pStyle w:val="Heading1"/>
        <w:numPr>
          <w:ilvl w:val="0"/>
          <w:numId w:val="0"/>
        </w:numPr>
        <w:spacing w:line="240" w:lineRule="auto"/>
        <w:rPr>
          <w:b/>
          <w:bCs w:val="0"/>
          <w:lang w:eastAsia="en-AU"/>
        </w:rPr>
      </w:pPr>
      <w:r w:rsidRPr="00DA354F">
        <w:rPr>
          <w:b/>
          <w:bCs w:val="0"/>
          <w:lang w:eastAsia="en-AU"/>
        </w:rPr>
        <w:lastRenderedPageBreak/>
        <w:t>Procedures</w:t>
      </w:r>
    </w:p>
    <w:tbl>
      <w:tblPr>
        <w:tblW w:w="0" w:type="auto"/>
        <w:tblLook w:val="04A0" w:firstRow="1" w:lastRow="0" w:firstColumn="1" w:lastColumn="0" w:noHBand="0" w:noVBand="1"/>
      </w:tblPr>
      <w:tblGrid>
        <w:gridCol w:w="8787"/>
      </w:tblGrid>
      <w:tr w:rsidR="00151E82" w14:paraId="6F27716F" w14:textId="77777777">
        <w:tc>
          <w:tcPr>
            <w:tcW w:w="9003" w:type="dxa"/>
          </w:tcPr>
          <w:p w14:paraId="55B0A31C" w14:textId="7BA1CDD8" w:rsidR="00062816" w:rsidRDefault="00062816" w:rsidP="00062816">
            <w:pPr>
              <w:pStyle w:val="ListParagraph"/>
              <w:numPr>
                <w:ilvl w:val="0"/>
                <w:numId w:val="20"/>
              </w:numPr>
              <w:jc w:val="both"/>
              <w:rPr>
                <w:lang w:eastAsia="en-AU"/>
              </w:rPr>
            </w:pPr>
            <w:r>
              <w:rPr>
                <w:lang w:eastAsia="en-AU"/>
              </w:rPr>
              <w:t xml:space="preserve">Recruitment and Informed Consent: </w:t>
            </w:r>
            <w:r>
              <w:rPr>
                <w:lang w:eastAsia="en-AU"/>
              </w:rPr>
              <w:t>The</w:t>
            </w:r>
            <w:r>
              <w:rPr>
                <w:lang w:eastAsia="en-AU"/>
              </w:rPr>
              <w:t xml:space="preserve"> participant or next of kin will give informed consent before the actual data collection. The caregivers will be informed on their role in supporting participants if need be.</w:t>
            </w:r>
            <w:r w:rsidR="003E3C9F">
              <w:t xml:space="preserve"> </w:t>
            </w:r>
            <w:r w:rsidR="003E3C9F" w:rsidRPr="003E3C9F">
              <w:rPr>
                <w:lang w:eastAsia="en-AU"/>
              </w:rPr>
              <w:t>(Patterson Norrie et al., 2019)</w:t>
            </w:r>
          </w:p>
          <w:p w14:paraId="5A030800" w14:textId="77777777" w:rsidR="00DA354F" w:rsidRDefault="00DA354F" w:rsidP="00DA354F">
            <w:pPr>
              <w:pStyle w:val="ListParagraph"/>
              <w:jc w:val="both"/>
              <w:rPr>
                <w:lang w:eastAsia="en-AU"/>
              </w:rPr>
            </w:pPr>
          </w:p>
          <w:p w14:paraId="746E4721" w14:textId="39C235A6" w:rsidR="00062816" w:rsidRDefault="00062816" w:rsidP="00062816">
            <w:pPr>
              <w:pStyle w:val="ListParagraph"/>
              <w:numPr>
                <w:ilvl w:val="0"/>
                <w:numId w:val="20"/>
              </w:numPr>
              <w:jc w:val="both"/>
              <w:rPr>
                <w:lang w:eastAsia="en-AU"/>
              </w:rPr>
            </w:pPr>
            <w:r>
              <w:rPr>
                <w:lang w:eastAsia="en-AU"/>
              </w:rPr>
              <w:t xml:space="preserve"> A dentist will perform an oral examination on the resident using the Oral Health Assessment Tool-standardized. This might involve a visualization examination, and manual examination using a dental mirror and probe, correspondingly, </w:t>
            </w:r>
            <w:r w:rsidR="003B4273">
              <w:rPr>
                <w:lang w:eastAsia="en-AU"/>
              </w:rPr>
              <w:t>including</w:t>
            </w:r>
            <w:r>
              <w:rPr>
                <w:lang w:eastAsia="en-AU"/>
              </w:rPr>
              <w:t xml:space="preserve"> plaque assessment</w:t>
            </w:r>
            <w:r w:rsidR="003B4273">
              <w:rPr>
                <w:lang w:eastAsia="en-AU"/>
              </w:rPr>
              <w:t xml:space="preserve"> if needed. </w:t>
            </w:r>
            <w:r>
              <w:rPr>
                <w:lang w:eastAsia="en-AU"/>
              </w:rPr>
              <w:t>Examinations shall be conducted in the facility utilizing a portable dental chair and dental instruments that are sterilized to ensure hygiene.</w:t>
            </w:r>
            <w:r w:rsidR="003E3C9F">
              <w:t xml:space="preserve"> </w:t>
            </w:r>
            <w:r w:rsidR="003E3C9F" w:rsidRPr="003E3C9F">
              <w:rPr>
                <w:lang w:eastAsia="en-AU"/>
              </w:rPr>
              <w:t>(</w:t>
            </w:r>
            <w:proofErr w:type="spellStart"/>
            <w:r w:rsidR="003E3C9F" w:rsidRPr="003E3C9F">
              <w:rPr>
                <w:lang w:eastAsia="en-AU"/>
              </w:rPr>
              <w:t>Delwel</w:t>
            </w:r>
            <w:proofErr w:type="spellEnd"/>
            <w:r w:rsidR="003E3C9F" w:rsidRPr="003E3C9F">
              <w:rPr>
                <w:lang w:eastAsia="en-AU"/>
              </w:rPr>
              <w:t xml:space="preserve"> et al., 2017)</w:t>
            </w:r>
          </w:p>
          <w:p w14:paraId="45ABB4A6" w14:textId="77777777" w:rsidR="00062816" w:rsidRDefault="00062816" w:rsidP="00062816">
            <w:pPr>
              <w:jc w:val="both"/>
              <w:rPr>
                <w:lang w:eastAsia="en-AU"/>
              </w:rPr>
            </w:pPr>
          </w:p>
          <w:p w14:paraId="673E214A" w14:textId="3E39528C" w:rsidR="00062816" w:rsidRDefault="00DA354F" w:rsidP="00062816">
            <w:pPr>
              <w:pStyle w:val="ListParagraph"/>
              <w:numPr>
                <w:ilvl w:val="0"/>
                <w:numId w:val="20"/>
              </w:numPr>
              <w:jc w:val="both"/>
              <w:rPr>
                <w:lang w:eastAsia="en-AU"/>
              </w:rPr>
            </w:pPr>
            <w:r>
              <w:rPr>
                <w:lang w:eastAsia="en-AU"/>
              </w:rPr>
              <w:t>W</w:t>
            </w:r>
            <w:r w:rsidR="00062816">
              <w:rPr>
                <w:lang w:eastAsia="en-AU"/>
              </w:rPr>
              <w:t>ellbeing questionnaires</w:t>
            </w:r>
            <w:r>
              <w:rPr>
                <w:lang w:eastAsia="en-AU"/>
              </w:rPr>
              <w:t xml:space="preserve"> from caregiver </w:t>
            </w:r>
            <w:r w:rsidR="00062816">
              <w:rPr>
                <w:lang w:eastAsia="en-AU"/>
              </w:rPr>
              <w:t>will provide compensat</w:t>
            </w:r>
            <w:r>
              <w:rPr>
                <w:lang w:eastAsia="en-AU"/>
              </w:rPr>
              <w:t>ion</w:t>
            </w:r>
            <w:r w:rsidR="00062816">
              <w:rPr>
                <w:lang w:eastAsia="en-AU"/>
              </w:rPr>
              <w:t xml:space="preserve"> for communication impairments among dementia cases, and structured questions will cover a range of different dimensions of overall wellbeing in relation to oral health.</w:t>
            </w:r>
            <w:r w:rsidR="009D2655">
              <w:t xml:space="preserve"> </w:t>
            </w:r>
            <w:r w:rsidR="009D2655" w:rsidRPr="009D2655">
              <w:rPr>
                <w:lang w:eastAsia="en-AU"/>
              </w:rPr>
              <w:t>(Foltyn, 2015)</w:t>
            </w:r>
          </w:p>
          <w:p w14:paraId="558FFDAE" w14:textId="77777777" w:rsidR="00062816" w:rsidRDefault="00062816" w:rsidP="00062816">
            <w:pPr>
              <w:jc w:val="both"/>
              <w:rPr>
                <w:lang w:eastAsia="en-AU"/>
              </w:rPr>
            </w:pPr>
          </w:p>
          <w:p w14:paraId="1003E856" w14:textId="4E598042" w:rsidR="00062816" w:rsidRDefault="00062816" w:rsidP="00062816">
            <w:pPr>
              <w:pStyle w:val="ListParagraph"/>
              <w:numPr>
                <w:ilvl w:val="0"/>
                <w:numId w:val="20"/>
              </w:numPr>
              <w:jc w:val="both"/>
              <w:rPr>
                <w:lang w:eastAsia="en-AU"/>
              </w:rPr>
            </w:pPr>
            <w:r>
              <w:rPr>
                <w:lang w:eastAsia="en-AU"/>
              </w:rPr>
              <w:lastRenderedPageBreak/>
              <w:t xml:space="preserve"> Information shall encompass all the assessments related to oral health and well-being; these are to be recorded directly onto a secure </w:t>
            </w:r>
            <w:r w:rsidR="00DA354F">
              <w:rPr>
                <w:lang w:eastAsia="en-AU"/>
              </w:rPr>
              <w:t xml:space="preserve">digital </w:t>
            </w:r>
            <w:r>
              <w:rPr>
                <w:lang w:eastAsia="en-AU"/>
              </w:rPr>
              <w:t>platform for up-to-the-moment accuracy, supported by effective data management.</w:t>
            </w:r>
          </w:p>
          <w:p w14:paraId="00F4E2D8" w14:textId="77777777" w:rsidR="00062816" w:rsidRDefault="00062816" w:rsidP="00062816">
            <w:pPr>
              <w:jc w:val="both"/>
              <w:rPr>
                <w:lang w:eastAsia="en-AU"/>
              </w:rPr>
            </w:pPr>
          </w:p>
          <w:p w14:paraId="4DAF2367" w14:textId="690892E9" w:rsidR="00062816" w:rsidRDefault="00062816" w:rsidP="00062816">
            <w:pPr>
              <w:pStyle w:val="ListParagraph"/>
              <w:numPr>
                <w:ilvl w:val="0"/>
                <w:numId w:val="20"/>
              </w:numPr>
              <w:jc w:val="both"/>
              <w:rPr>
                <w:lang w:eastAsia="en-AU"/>
              </w:rPr>
            </w:pPr>
            <w:r>
              <w:rPr>
                <w:lang w:eastAsia="en-AU"/>
              </w:rPr>
              <w:t xml:space="preserve">Follow-up assessments will be made at six months into the study to observe changes in oral health and wellness by the participants. </w:t>
            </w:r>
          </w:p>
          <w:p w14:paraId="52EE0354" w14:textId="77777777" w:rsidR="00062816" w:rsidRDefault="00062816" w:rsidP="00062816">
            <w:pPr>
              <w:jc w:val="both"/>
              <w:rPr>
                <w:lang w:eastAsia="en-AU"/>
              </w:rPr>
            </w:pPr>
          </w:p>
          <w:p w14:paraId="265D94F0" w14:textId="08AF0C2C" w:rsidR="00EA2FE7" w:rsidRDefault="00062816" w:rsidP="00062816">
            <w:pPr>
              <w:pStyle w:val="ListParagraph"/>
              <w:numPr>
                <w:ilvl w:val="0"/>
                <w:numId w:val="20"/>
              </w:numPr>
              <w:jc w:val="both"/>
              <w:rPr>
                <w:lang w:eastAsia="en-AU"/>
              </w:rPr>
            </w:pPr>
            <w:r>
              <w:rPr>
                <w:lang w:eastAsia="en-AU"/>
              </w:rPr>
              <w:t>Retention Strategies: Regular contact with caregivers through the six-month period a</w:t>
            </w:r>
            <w:r w:rsidR="00DA354F">
              <w:rPr>
                <w:lang w:eastAsia="en-AU"/>
              </w:rPr>
              <w:t>nd reminders on every visit</w:t>
            </w:r>
            <w:r>
              <w:rPr>
                <w:lang w:eastAsia="en-AU"/>
              </w:rPr>
              <w:t>. Th</w:t>
            </w:r>
            <w:r w:rsidR="00B655EC">
              <w:rPr>
                <w:lang w:eastAsia="en-AU"/>
              </w:rPr>
              <w:t xml:space="preserve">is will </w:t>
            </w:r>
            <w:r>
              <w:rPr>
                <w:lang w:eastAsia="en-AU"/>
              </w:rPr>
              <w:t>guarantee that data is gathered in a systematic manner, with minimal bias and optimal participant retention</w:t>
            </w:r>
            <w:r w:rsidR="00B655EC">
              <w:rPr>
                <w:lang w:eastAsia="en-AU"/>
              </w:rPr>
              <w:t>.</w:t>
            </w:r>
          </w:p>
        </w:tc>
      </w:tr>
    </w:tbl>
    <w:p w14:paraId="57379CA5" w14:textId="77777777" w:rsidR="002107A6" w:rsidRPr="00F55539" w:rsidRDefault="002107A6">
      <w:pPr>
        <w:pStyle w:val="Heading1"/>
        <w:numPr>
          <w:ilvl w:val="0"/>
          <w:numId w:val="0"/>
        </w:numPr>
        <w:spacing w:line="240" w:lineRule="auto"/>
        <w:rPr>
          <w:b/>
          <w:bCs w:val="0"/>
          <w:lang w:eastAsia="en-AU"/>
        </w:rPr>
      </w:pPr>
      <w:r w:rsidRPr="00F55539">
        <w:rPr>
          <w:b/>
          <w:bCs w:val="0"/>
          <w:lang w:eastAsia="en-AU"/>
        </w:rPr>
        <w:lastRenderedPageBreak/>
        <w:t>Data analysis</w:t>
      </w:r>
    </w:p>
    <w:tbl>
      <w:tblPr>
        <w:tblW w:w="0" w:type="auto"/>
        <w:tblLook w:val="04A0" w:firstRow="1" w:lastRow="0" w:firstColumn="1" w:lastColumn="0" w:noHBand="0" w:noVBand="1"/>
      </w:tblPr>
      <w:tblGrid>
        <w:gridCol w:w="8787"/>
      </w:tblGrid>
      <w:tr w:rsidR="002107A6" w14:paraId="788FAC4A" w14:textId="77777777" w:rsidTr="00DD1C70">
        <w:tc>
          <w:tcPr>
            <w:tcW w:w="9003" w:type="dxa"/>
          </w:tcPr>
          <w:p w14:paraId="0B814062" w14:textId="41A12C93" w:rsidR="00EA2FE7" w:rsidRDefault="00062816" w:rsidP="00062816">
            <w:pPr>
              <w:rPr>
                <w:lang w:eastAsia="en-AU"/>
              </w:rPr>
            </w:pPr>
            <w:r w:rsidRPr="00062816">
              <w:rPr>
                <w:lang w:eastAsia="en-AU"/>
              </w:rPr>
              <w:t xml:space="preserve">Descriptive statistics will be used to summarize participant demographics, oral health scores, and wellbeing outcomes. </w:t>
            </w:r>
            <w:r w:rsidR="00DA354F">
              <w:rPr>
                <w:lang w:eastAsia="en-AU"/>
              </w:rPr>
              <w:t>L</w:t>
            </w:r>
            <w:r w:rsidRPr="00062816">
              <w:rPr>
                <w:lang w:eastAsia="en-AU"/>
              </w:rPr>
              <w:t>inear regression and correlation analysis</w:t>
            </w:r>
            <w:r w:rsidR="00DA354F">
              <w:rPr>
                <w:lang w:eastAsia="en-AU"/>
              </w:rPr>
              <w:t xml:space="preserve"> will </w:t>
            </w:r>
            <w:r w:rsidRPr="00062816">
              <w:rPr>
                <w:lang w:eastAsia="en-AU"/>
              </w:rPr>
              <w:t>be conducted to quantify the association between oral health and wellbeing. Subgroup analyses are to be done by the degree of severity of dementia. Besides, multivariate analysis allows for the adjustment of several confounding variables, such as age and cognitive function.</w:t>
            </w:r>
          </w:p>
        </w:tc>
      </w:tr>
    </w:tbl>
    <w:p w14:paraId="3AD19808" w14:textId="77777777" w:rsidR="00151E82" w:rsidRPr="00F55539" w:rsidRDefault="00FB746C">
      <w:pPr>
        <w:pStyle w:val="Heading1"/>
        <w:numPr>
          <w:ilvl w:val="0"/>
          <w:numId w:val="0"/>
        </w:numPr>
        <w:spacing w:line="240" w:lineRule="auto"/>
        <w:rPr>
          <w:b/>
          <w:bCs w:val="0"/>
          <w:lang w:eastAsia="en-AU"/>
        </w:rPr>
      </w:pPr>
      <w:r w:rsidRPr="00F55539">
        <w:rPr>
          <w:b/>
          <w:bCs w:val="0"/>
          <w:lang w:eastAsia="en-AU"/>
        </w:rPr>
        <w:t>Ethics</w:t>
      </w:r>
    </w:p>
    <w:tbl>
      <w:tblPr>
        <w:tblW w:w="0" w:type="auto"/>
        <w:tblLook w:val="04A0" w:firstRow="1" w:lastRow="0" w:firstColumn="1" w:lastColumn="0" w:noHBand="0" w:noVBand="1"/>
      </w:tblPr>
      <w:tblGrid>
        <w:gridCol w:w="8787"/>
      </w:tblGrid>
      <w:tr w:rsidR="00151E82" w14:paraId="578C73CD" w14:textId="77777777">
        <w:tc>
          <w:tcPr>
            <w:tcW w:w="9003" w:type="dxa"/>
          </w:tcPr>
          <w:p w14:paraId="16B70DC0" w14:textId="77777777" w:rsidR="00DA354F" w:rsidRDefault="00062816" w:rsidP="00DA354F">
            <w:pPr>
              <w:pStyle w:val="ListParagraph"/>
              <w:numPr>
                <w:ilvl w:val="0"/>
                <w:numId w:val="23"/>
              </w:numPr>
              <w:rPr>
                <w:lang w:eastAsia="en-AU"/>
              </w:rPr>
            </w:pPr>
            <w:r>
              <w:rPr>
                <w:lang w:eastAsia="en-AU"/>
              </w:rPr>
              <w:t>This current study will strictly follow ethical considerations by protecting the welfare and rights of the participants. Writte</w:t>
            </w:r>
            <w:r>
              <w:rPr>
                <w:lang w:eastAsia="en-AU"/>
              </w:rPr>
              <w:t xml:space="preserve">n </w:t>
            </w:r>
            <w:r>
              <w:rPr>
                <w:lang w:eastAsia="en-AU"/>
              </w:rPr>
              <w:t xml:space="preserve">consent will be obtained </w:t>
            </w:r>
            <w:r>
              <w:rPr>
                <w:lang w:eastAsia="en-AU"/>
              </w:rPr>
              <w:lastRenderedPageBreak/>
              <w:t>from each participant or guardian after full information has been given on the purpose of the study, the procedure, and risks involved.</w:t>
            </w:r>
            <w:r w:rsidR="003E3C9F">
              <w:t xml:space="preserve"> </w:t>
            </w:r>
            <w:r w:rsidR="003E3C9F" w:rsidRPr="003E3C9F">
              <w:rPr>
                <w:lang w:eastAsia="en-AU"/>
              </w:rPr>
              <w:t>(Patterson Norrie et al., 2019)</w:t>
            </w:r>
            <w:r>
              <w:rPr>
                <w:lang w:eastAsia="en-AU"/>
              </w:rPr>
              <w:t xml:space="preserve"> </w:t>
            </w:r>
          </w:p>
          <w:p w14:paraId="577C5123" w14:textId="77777777" w:rsidR="00C87CB0" w:rsidRDefault="00C87CB0" w:rsidP="00C87CB0">
            <w:pPr>
              <w:pStyle w:val="ListParagraph"/>
              <w:rPr>
                <w:lang w:eastAsia="en-AU"/>
              </w:rPr>
            </w:pPr>
          </w:p>
          <w:p w14:paraId="4868C58D" w14:textId="3025017E" w:rsidR="00062816" w:rsidRDefault="00062816" w:rsidP="00DA354F">
            <w:pPr>
              <w:pStyle w:val="ListParagraph"/>
              <w:numPr>
                <w:ilvl w:val="0"/>
                <w:numId w:val="23"/>
              </w:numPr>
              <w:rPr>
                <w:lang w:eastAsia="en-AU"/>
              </w:rPr>
            </w:pPr>
            <w:r>
              <w:rPr>
                <w:lang w:eastAsia="en-AU"/>
              </w:rPr>
              <w:t>This</w:t>
            </w:r>
            <w:r w:rsidR="00DA354F">
              <w:rPr>
                <w:lang w:eastAsia="en-AU"/>
              </w:rPr>
              <w:t xml:space="preserve"> </w:t>
            </w:r>
            <w:r>
              <w:rPr>
                <w:lang w:eastAsia="en-AU"/>
              </w:rPr>
              <w:t xml:space="preserve">study ensures that information privacy and confidentiality are well protected. </w:t>
            </w:r>
          </w:p>
          <w:p w14:paraId="20C00619" w14:textId="77777777" w:rsidR="00C87CB0" w:rsidRDefault="00C87CB0" w:rsidP="00C87CB0">
            <w:pPr>
              <w:pStyle w:val="ListParagraph"/>
              <w:rPr>
                <w:lang w:eastAsia="en-AU"/>
              </w:rPr>
            </w:pPr>
          </w:p>
          <w:p w14:paraId="79C624A2" w14:textId="2DDE395F" w:rsidR="00DA354F" w:rsidRDefault="00062816" w:rsidP="00DA354F">
            <w:pPr>
              <w:pStyle w:val="ListParagraph"/>
              <w:numPr>
                <w:ilvl w:val="0"/>
                <w:numId w:val="23"/>
              </w:numPr>
              <w:rPr>
                <w:lang w:eastAsia="en-AU"/>
              </w:rPr>
            </w:pPr>
            <w:r>
              <w:rPr>
                <w:lang w:eastAsia="en-AU"/>
              </w:rPr>
              <w:t>Assessment of oral health by a qualified professional dentist shall be done to minimize harm</w:t>
            </w:r>
            <w:r w:rsidR="00DA354F">
              <w:rPr>
                <w:lang w:eastAsia="en-AU"/>
              </w:rPr>
              <w:t xml:space="preserve">. </w:t>
            </w:r>
            <w:r w:rsidR="00DA354F" w:rsidRPr="00DA354F">
              <w:rPr>
                <w:lang w:eastAsia="en-AU"/>
              </w:rPr>
              <w:t>(</w:t>
            </w:r>
            <w:proofErr w:type="spellStart"/>
            <w:r w:rsidR="00DA354F" w:rsidRPr="00DA354F">
              <w:rPr>
                <w:lang w:eastAsia="en-AU"/>
              </w:rPr>
              <w:t>Delwel</w:t>
            </w:r>
            <w:proofErr w:type="spellEnd"/>
            <w:r w:rsidR="00DA354F" w:rsidRPr="00DA354F">
              <w:rPr>
                <w:lang w:eastAsia="en-AU"/>
              </w:rPr>
              <w:t xml:space="preserve"> et al., 2017)</w:t>
            </w:r>
          </w:p>
          <w:p w14:paraId="449075C9" w14:textId="77777777" w:rsidR="00C87CB0" w:rsidRDefault="00C87CB0" w:rsidP="00C87CB0">
            <w:pPr>
              <w:pStyle w:val="ListParagraph"/>
              <w:rPr>
                <w:lang w:eastAsia="en-AU"/>
              </w:rPr>
            </w:pPr>
          </w:p>
          <w:p w14:paraId="2FD039D3" w14:textId="11A17304" w:rsidR="00062816" w:rsidRDefault="00062816" w:rsidP="00DA354F">
            <w:pPr>
              <w:pStyle w:val="ListParagraph"/>
              <w:numPr>
                <w:ilvl w:val="0"/>
                <w:numId w:val="23"/>
              </w:numPr>
              <w:rPr>
                <w:lang w:eastAsia="en-AU"/>
              </w:rPr>
            </w:pPr>
            <w:r>
              <w:rPr>
                <w:lang w:eastAsia="en-AU"/>
              </w:rPr>
              <w:t>Sterile equipment and no invasive procedures will ensure the protection of the participants.</w:t>
            </w:r>
          </w:p>
          <w:p w14:paraId="15EA7BEE" w14:textId="77777777" w:rsidR="00C87CB0" w:rsidRDefault="00C87CB0" w:rsidP="00C87CB0">
            <w:pPr>
              <w:pStyle w:val="ListParagraph"/>
              <w:rPr>
                <w:lang w:eastAsia="en-AU"/>
              </w:rPr>
            </w:pPr>
          </w:p>
          <w:p w14:paraId="0049FCB9" w14:textId="6DA4E263" w:rsidR="00EA2FE7" w:rsidRDefault="00062816" w:rsidP="00DA354F">
            <w:pPr>
              <w:pStyle w:val="ListParagraph"/>
              <w:numPr>
                <w:ilvl w:val="0"/>
                <w:numId w:val="23"/>
              </w:numPr>
              <w:rPr>
                <w:lang w:eastAsia="en-AU"/>
              </w:rPr>
            </w:pPr>
            <w:r>
              <w:rPr>
                <w:lang w:eastAsia="en-AU"/>
              </w:rPr>
              <w:t>A</w:t>
            </w:r>
            <w:r>
              <w:rPr>
                <w:lang w:eastAsia="en-AU"/>
              </w:rPr>
              <w:t>ny conflict of interest on the part of the researchers with the collaborating aged care facilities will also be fully declared to ensure</w:t>
            </w:r>
            <w:r>
              <w:rPr>
                <w:lang w:eastAsia="en-AU"/>
              </w:rPr>
              <w:t xml:space="preserve"> t</w:t>
            </w:r>
            <w:r w:rsidRPr="00062816">
              <w:rPr>
                <w:lang w:eastAsia="en-AU"/>
              </w:rPr>
              <w:t>ransparency</w:t>
            </w:r>
            <w:r>
              <w:rPr>
                <w:lang w:eastAsia="en-AU"/>
              </w:rPr>
              <w:t xml:space="preserve"> and </w:t>
            </w:r>
            <w:r>
              <w:rPr>
                <w:lang w:eastAsia="en-AU"/>
              </w:rPr>
              <w:t xml:space="preserve">integrity </w:t>
            </w:r>
            <w:r w:rsidR="00F55539">
              <w:rPr>
                <w:lang w:eastAsia="en-AU"/>
              </w:rPr>
              <w:t>during</w:t>
            </w:r>
            <w:r>
              <w:rPr>
                <w:lang w:eastAsia="en-AU"/>
              </w:rPr>
              <w:t xml:space="preserve"> the research process. </w:t>
            </w:r>
          </w:p>
          <w:p w14:paraId="15C23C35" w14:textId="1FFFDA48" w:rsidR="0012665B" w:rsidRDefault="0012665B" w:rsidP="00062816">
            <w:pPr>
              <w:rPr>
                <w:lang w:eastAsia="en-AU"/>
              </w:rPr>
            </w:pPr>
          </w:p>
        </w:tc>
      </w:tr>
    </w:tbl>
    <w:p w14:paraId="14F03A5E" w14:textId="77777777" w:rsidR="00DA354F" w:rsidRDefault="00DA354F" w:rsidP="00F55539">
      <w:pPr>
        <w:pStyle w:val="Heading1"/>
        <w:numPr>
          <w:ilvl w:val="0"/>
          <w:numId w:val="0"/>
        </w:numPr>
        <w:spacing w:line="240" w:lineRule="auto"/>
        <w:jc w:val="center"/>
        <w:rPr>
          <w:b/>
          <w:bCs w:val="0"/>
          <w:u w:val="single"/>
          <w:lang w:eastAsia="en-AU"/>
        </w:rPr>
      </w:pPr>
    </w:p>
    <w:p w14:paraId="035E2A2D" w14:textId="77777777" w:rsidR="00DA354F" w:rsidRDefault="00DA354F" w:rsidP="00F55539">
      <w:pPr>
        <w:pStyle w:val="Heading1"/>
        <w:numPr>
          <w:ilvl w:val="0"/>
          <w:numId w:val="0"/>
        </w:numPr>
        <w:spacing w:line="240" w:lineRule="auto"/>
        <w:jc w:val="center"/>
        <w:rPr>
          <w:b/>
          <w:bCs w:val="0"/>
          <w:u w:val="single"/>
          <w:lang w:eastAsia="en-AU"/>
        </w:rPr>
      </w:pPr>
    </w:p>
    <w:p w14:paraId="7EC20CF3" w14:textId="77777777" w:rsidR="00DA354F" w:rsidRDefault="00DA354F" w:rsidP="00DA354F">
      <w:pPr>
        <w:rPr>
          <w:lang w:eastAsia="en-AU"/>
        </w:rPr>
      </w:pPr>
    </w:p>
    <w:p w14:paraId="4C0751F8" w14:textId="77777777" w:rsidR="00DA354F" w:rsidRDefault="00DA354F" w:rsidP="00C87CB0">
      <w:pPr>
        <w:pStyle w:val="Heading1"/>
        <w:numPr>
          <w:ilvl w:val="0"/>
          <w:numId w:val="0"/>
        </w:numPr>
        <w:spacing w:line="240" w:lineRule="auto"/>
        <w:rPr>
          <w:b/>
          <w:bCs w:val="0"/>
          <w:u w:val="single"/>
          <w:lang w:eastAsia="en-AU"/>
        </w:rPr>
      </w:pPr>
    </w:p>
    <w:p w14:paraId="672B227D" w14:textId="77777777" w:rsidR="00DA354F" w:rsidRDefault="00DA354F" w:rsidP="00F55539">
      <w:pPr>
        <w:pStyle w:val="Heading1"/>
        <w:numPr>
          <w:ilvl w:val="0"/>
          <w:numId w:val="0"/>
        </w:numPr>
        <w:spacing w:line="240" w:lineRule="auto"/>
        <w:jc w:val="center"/>
        <w:rPr>
          <w:b/>
          <w:bCs w:val="0"/>
          <w:u w:val="single"/>
          <w:lang w:eastAsia="en-AU"/>
        </w:rPr>
      </w:pPr>
    </w:p>
    <w:p w14:paraId="5E124B7F" w14:textId="77777777" w:rsidR="00DA354F" w:rsidRPr="00DA354F" w:rsidRDefault="00DA354F" w:rsidP="00DA354F">
      <w:pPr>
        <w:rPr>
          <w:lang w:eastAsia="en-AU"/>
        </w:rPr>
      </w:pPr>
    </w:p>
    <w:p w14:paraId="4243624E" w14:textId="1442F12E" w:rsidR="00151E82" w:rsidRPr="00F55539" w:rsidRDefault="00FB746C" w:rsidP="00F55539">
      <w:pPr>
        <w:pStyle w:val="Heading1"/>
        <w:numPr>
          <w:ilvl w:val="0"/>
          <w:numId w:val="0"/>
        </w:numPr>
        <w:spacing w:line="240" w:lineRule="auto"/>
        <w:jc w:val="center"/>
        <w:rPr>
          <w:b/>
          <w:bCs w:val="0"/>
          <w:u w:val="single"/>
          <w:lang w:eastAsia="en-AU"/>
        </w:rPr>
      </w:pPr>
      <w:r w:rsidRPr="00F55539">
        <w:rPr>
          <w:b/>
          <w:bCs w:val="0"/>
          <w:u w:val="single"/>
          <w:lang w:eastAsia="en-AU"/>
        </w:rPr>
        <w:lastRenderedPageBreak/>
        <w:t>References</w:t>
      </w:r>
    </w:p>
    <w:tbl>
      <w:tblPr>
        <w:tblW w:w="0" w:type="auto"/>
        <w:tblLook w:val="04A0" w:firstRow="1" w:lastRow="0" w:firstColumn="1" w:lastColumn="0" w:noHBand="0" w:noVBand="1"/>
      </w:tblPr>
      <w:tblGrid>
        <w:gridCol w:w="8787"/>
      </w:tblGrid>
      <w:tr w:rsidR="003E3C9F" w14:paraId="7A59E872" w14:textId="77777777" w:rsidTr="003E3C9F">
        <w:tc>
          <w:tcPr>
            <w:tcW w:w="8787" w:type="dxa"/>
          </w:tcPr>
          <w:p w14:paraId="2D03856F" w14:textId="77777777" w:rsidR="003E3C9F" w:rsidRDefault="003E3C9F" w:rsidP="00C4158F">
            <w:pPr>
              <w:spacing w:line="360" w:lineRule="auto"/>
              <w:ind w:hanging="720"/>
              <w:rPr>
                <w:lang w:eastAsia="en-AU"/>
              </w:rPr>
            </w:pPr>
          </w:p>
          <w:p w14:paraId="7B22C1C5" w14:textId="77777777" w:rsidR="003E3C9F" w:rsidRDefault="003E3C9F" w:rsidP="00C4158F">
            <w:pPr>
              <w:spacing w:line="360" w:lineRule="auto"/>
              <w:ind w:left="720" w:hanging="720"/>
              <w:rPr>
                <w:szCs w:val="24"/>
                <w:lang w:eastAsia="en-AU"/>
              </w:rPr>
            </w:pPr>
            <w:r w:rsidRPr="00902BBB">
              <w:rPr>
                <w:szCs w:val="24"/>
                <w:lang w:eastAsia="en-AU"/>
              </w:rPr>
              <w:t xml:space="preserve">Australian Institute of Health and Welfare. (2023). Dementia in Australia Summary report 2022. Canberra: AIHW. </w:t>
            </w:r>
            <w:hyperlink r:id="rId8" w:history="1">
              <w:r w:rsidRPr="00B206E2">
                <w:rPr>
                  <w:rStyle w:val="Hyperlink"/>
                  <w:szCs w:val="24"/>
                  <w:lang w:eastAsia="en-AU"/>
                </w:rPr>
                <w:t>https://</w:t>
              </w:r>
              <w:r w:rsidRPr="00B206E2">
                <w:rPr>
                  <w:rStyle w:val="Hyperlink"/>
                  <w:szCs w:val="24"/>
                  <w:lang w:eastAsia="en-AU"/>
                </w:rPr>
                <w:t>doi:10.25816/ym69-xy81</w:t>
              </w:r>
            </w:hyperlink>
            <w:r>
              <w:rPr>
                <w:szCs w:val="24"/>
                <w:lang w:eastAsia="en-AU"/>
              </w:rPr>
              <w:t xml:space="preserve"> </w:t>
            </w:r>
          </w:p>
          <w:p w14:paraId="7F70A995" w14:textId="77777777" w:rsidR="003E3C9F" w:rsidRPr="00902BBB" w:rsidRDefault="003E3C9F" w:rsidP="00C4158F">
            <w:pPr>
              <w:spacing w:line="360" w:lineRule="auto"/>
              <w:ind w:left="720" w:hanging="720"/>
              <w:rPr>
                <w:szCs w:val="24"/>
                <w:lang w:eastAsia="en-AU"/>
              </w:rPr>
            </w:pPr>
          </w:p>
          <w:p w14:paraId="2026C59F" w14:textId="77777777" w:rsidR="003E3C9F" w:rsidRDefault="003E3C9F" w:rsidP="00C4158F">
            <w:pPr>
              <w:spacing w:line="360" w:lineRule="auto"/>
              <w:ind w:left="720" w:hanging="720"/>
              <w:rPr>
                <w:szCs w:val="24"/>
                <w:lang w:eastAsia="en-AU"/>
              </w:rPr>
            </w:pPr>
            <w:r w:rsidRPr="00902BBB">
              <w:rPr>
                <w:szCs w:val="24"/>
                <w:lang w:eastAsia="en-AU"/>
              </w:rPr>
              <w:t xml:space="preserve">Australian Institute of Health and Welfare. (2023). Oral health and dental care in Australia. Retrieved from </w:t>
            </w:r>
            <w:hyperlink r:id="rId9" w:history="1">
              <w:r w:rsidRPr="00B206E2">
                <w:rPr>
                  <w:rStyle w:val="Hyperlink"/>
                  <w:szCs w:val="24"/>
                  <w:lang w:eastAsia="en-AU"/>
                </w:rPr>
                <w:t>https://www.aihw.gov.au/reports/dental-oral-health/oral-health-and-dental-care-in-australia</w:t>
              </w:r>
            </w:hyperlink>
          </w:p>
          <w:p w14:paraId="226EF716" w14:textId="77777777" w:rsidR="00F55539" w:rsidRDefault="00F55539" w:rsidP="00C4158F">
            <w:pPr>
              <w:spacing w:line="360" w:lineRule="auto"/>
              <w:ind w:left="720" w:hanging="720"/>
              <w:rPr>
                <w:szCs w:val="24"/>
                <w:lang w:eastAsia="en-AU"/>
              </w:rPr>
            </w:pPr>
          </w:p>
          <w:p w14:paraId="0A782E6B" w14:textId="49E87F46" w:rsidR="003E3C9F" w:rsidRDefault="00F55539" w:rsidP="00C4158F">
            <w:pPr>
              <w:spacing w:line="360" w:lineRule="auto"/>
              <w:ind w:left="720" w:hanging="720"/>
              <w:rPr>
                <w:szCs w:val="24"/>
                <w:lang w:eastAsia="en-AU"/>
              </w:rPr>
            </w:pPr>
            <w:r w:rsidRPr="00F55539">
              <w:rPr>
                <w:szCs w:val="24"/>
                <w:lang w:eastAsia="en-AU"/>
              </w:rPr>
              <w:t xml:space="preserve">Chalmers, J., King, P., Spencer, A., Wright, F., &amp; Carter, K. (2005). The Oral Health Assessment Tool — Validity and reliability. Australian Dental Journal, 50(3), 191–199. </w:t>
            </w:r>
            <w:hyperlink r:id="rId10" w:history="1">
              <w:r w:rsidRPr="00B206E2">
                <w:rPr>
                  <w:rStyle w:val="Hyperlink"/>
                  <w:szCs w:val="24"/>
                  <w:lang w:eastAsia="en-AU"/>
                </w:rPr>
                <w:t>https://doi.org/10.1111/j.1834-7819.2005.tb00360.x</w:t>
              </w:r>
            </w:hyperlink>
          </w:p>
          <w:p w14:paraId="34E208D6" w14:textId="77777777" w:rsidR="00F55539" w:rsidRDefault="00F55539" w:rsidP="00C4158F">
            <w:pPr>
              <w:spacing w:line="360" w:lineRule="auto"/>
              <w:ind w:left="720" w:hanging="720"/>
              <w:rPr>
                <w:szCs w:val="24"/>
                <w:lang w:eastAsia="en-AU"/>
              </w:rPr>
            </w:pPr>
          </w:p>
          <w:p w14:paraId="02E2F9D3" w14:textId="59AB08A2" w:rsidR="00F55539" w:rsidRDefault="00F55539" w:rsidP="00C4158F">
            <w:pPr>
              <w:spacing w:line="360" w:lineRule="auto"/>
              <w:ind w:left="720" w:hanging="720"/>
              <w:rPr>
                <w:szCs w:val="24"/>
                <w:lang w:eastAsia="en-AU"/>
              </w:rPr>
            </w:pPr>
            <w:proofErr w:type="spellStart"/>
            <w:r w:rsidRPr="00F55539">
              <w:rPr>
                <w:szCs w:val="24"/>
                <w:lang w:eastAsia="en-AU"/>
              </w:rPr>
              <w:t>Delwel</w:t>
            </w:r>
            <w:proofErr w:type="spellEnd"/>
            <w:r w:rsidRPr="00F55539">
              <w:rPr>
                <w:szCs w:val="24"/>
                <w:lang w:eastAsia="en-AU"/>
              </w:rPr>
              <w:t xml:space="preserve">, S., </w:t>
            </w:r>
            <w:proofErr w:type="spellStart"/>
            <w:r w:rsidRPr="00F55539">
              <w:rPr>
                <w:szCs w:val="24"/>
                <w:lang w:eastAsia="en-AU"/>
              </w:rPr>
              <w:t>Binnekade</w:t>
            </w:r>
            <w:proofErr w:type="spellEnd"/>
            <w:r w:rsidRPr="00F55539">
              <w:rPr>
                <w:szCs w:val="24"/>
                <w:lang w:eastAsia="en-AU"/>
              </w:rPr>
              <w:t xml:space="preserve">, T. T., Perez, R. S. G. M., Hertogh, C. M. P. M., Scherder, E. J. A., &amp; </w:t>
            </w:r>
            <w:proofErr w:type="spellStart"/>
            <w:r w:rsidRPr="00F55539">
              <w:rPr>
                <w:szCs w:val="24"/>
                <w:lang w:eastAsia="en-AU"/>
              </w:rPr>
              <w:t>Lobbezoo</w:t>
            </w:r>
            <w:proofErr w:type="spellEnd"/>
            <w:r w:rsidRPr="00F55539">
              <w:rPr>
                <w:szCs w:val="24"/>
                <w:lang w:eastAsia="en-AU"/>
              </w:rPr>
              <w:t xml:space="preserve">, F. (2017). Oral hygiene and oral health in older people with dementia: a comprehensive review with focus on oral soft tissues. Clinical Oral Investigations, 22(1), 93–108. </w:t>
            </w:r>
            <w:hyperlink r:id="rId11" w:history="1">
              <w:r w:rsidRPr="00B206E2">
                <w:rPr>
                  <w:rStyle w:val="Hyperlink"/>
                  <w:szCs w:val="24"/>
                  <w:lang w:eastAsia="en-AU"/>
                </w:rPr>
                <w:t>https://doi.org/10.1007/s00784-017-2264-</w:t>
              </w:r>
            </w:hyperlink>
            <w:r w:rsidRPr="00F55539">
              <w:rPr>
                <w:szCs w:val="24"/>
                <w:lang w:eastAsia="en-AU"/>
              </w:rPr>
              <w:t>2</w:t>
            </w:r>
          </w:p>
          <w:p w14:paraId="0E601DFA" w14:textId="77777777" w:rsidR="00F55539" w:rsidRPr="00902BBB" w:rsidRDefault="00F55539" w:rsidP="00C4158F">
            <w:pPr>
              <w:spacing w:line="360" w:lineRule="auto"/>
              <w:rPr>
                <w:szCs w:val="24"/>
                <w:lang w:eastAsia="en-AU"/>
              </w:rPr>
            </w:pPr>
          </w:p>
          <w:p w14:paraId="3F99878D" w14:textId="77777777" w:rsidR="003E3C9F" w:rsidRDefault="003E3C9F" w:rsidP="00C4158F">
            <w:pPr>
              <w:spacing w:line="360" w:lineRule="auto"/>
              <w:ind w:left="720" w:hanging="720"/>
              <w:rPr>
                <w:szCs w:val="24"/>
                <w:lang w:eastAsia="en-AU"/>
              </w:rPr>
            </w:pPr>
            <w:r w:rsidRPr="00902BBB">
              <w:rPr>
                <w:szCs w:val="24"/>
                <w:lang w:eastAsia="en-AU"/>
              </w:rPr>
              <w:t xml:space="preserve">Foltyn P. (2015). Ageing, dementia and oral health. Australian dental journal, 60 Suppl 1, 86–94. </w:t>
            </w:r>
            <w:hyperlink r:id="rId12" w:history="1">
              <w:r w:rsidRPr="00B206E2">
                <w:rPr>
                  <w:rStyle w:val="Hyperlink"/>
                  <w:szCs w:val="24"/>
                  <w:lang w:eastAsia="en-AU"/>
                </w:rPr>
                <w:t>https://doi.org/10.1111/adj.12287</w:t>
              </w:r>
            </w:hyperlink>
          </w:p>
          <w:p w14:paraId="7FF20D67" w14:textId="77777777" w:rsidR="003E3C9F" w:rsidRPr="00902BBB" w:rsidRDefault="003E3C9F" w:rsidP="00C4158F">
            <w:pPr>
              <w:spacing w:line="360" w:lineRule="auto"/>
              <w:ind w:left="720" w:hanging="720"/>
              <w:rPr>
                <w:szCs w:val="24"/>
                <w:lang w:eastAsia="en-AU"/>
              </w:rPr>
            </w:pPr>
          </w:p>
          <w:p w14:paraId="03F918D0" w14:textId="041955A9" w:rsidR="003E3C9F" w:rsidRDefault="003E3C9F" w:rsidP="00C4158F">
            <w:pPr>
              <w:spacing w:line="360" w:lineRule="auto"/>
              <w:ind w:left="720" w:hanging="720"/>
              <w:rPr>
                <w:szCs w:val="24"/>
                <w:lang w:eastAsia="en-AU"/>
              </w:rPr>
            </w:pPr>
            <w:r w:rsidRPr="00902BBB">
              <w:rPr>
                <w:szCs w:val="24"/>
                <w:lang w:eastAsia="en-AU"/>
              </w:rPr>
              <w:t xml:space="preserve">Janto, M., </w:t>
            </w:r>
            <w:proofErr w:type="spellStart"/>
            <w:r w:rsidRPr="00902BBB">
              <w:rPr>
                <w:szCs w:val="24"/>
                <w:lang w:eastAsia="en-AU"/>
              </w:rPr>
              <w:t>Iurcov</w:t>
            </w:r>
            <w:proofErr w:type="spellEnd"/>
            <w:r w:rsidRPr="00902BBB">
              <w:rPr>
                <w:szCs w:val="24"/>
                <w:lang w:eastAsia="en-AU"/>
              </w:rPr>
              <w:t xml:space="preserve">, R., Daina, C. M., </w:t>
            </w:r>
            <w:proofErr w:type="spellStart"/>
            <w:r w:rsidRPr="00902BBB">
              <w:rPr>
                <w:szCs w:val="24"/>
                <w:lang w:eastAsia="en-AU"/>
              </w:rPr>
              <w:t>Neculoiu</w:t>
            </w:r>
            <w:proofErr w:type="spellEnd"/>
            <w:r w:rsidRPr="00902BBB">
              <w:rPr>
                <w:szCs w:val="24"/>
                <w:lang w:eastAsia="en-AU"/>
              </w:rPr>
              <w:t xml:space="preserve">, D. C., Venter, A. C., </w:t>
            </w:r>
            <w:proofErr w:type="spellStart"/>
            <w:r w:rsidRPr="00902BBB">
              <w:rPr>
                <w:szCs w:val="24"/>
                <w:lang w:eastAsia="en-AU"/>
              </w:rPr>
              <w:t>Badau</w:t>
            </w:r>
            <w:proofErr w:type="spellEnd"/>
            <w:r w:rsidRPr="00902BBB">
              <w:rPr>
                <w:szCs w:val="24"/>
                <w:lang w:eastAsia="en-AU"/>
              </w:rPr>
              <w:t xml:space="preserve">, D., </w:t>
            </w:r>
            <w:proofErr w:type="spellStart"/>
            <w:r w:rsidRPr="00902BBB">
              <w:rPr>
                <w:szCs w:val="24"/>
                <w:lang w:eastAsia="en-AU"/>
              </w:rPr>
              <w:t>Cotovanu</w:t>
            </w:r>
            <w:proofErr w:type="spellEnd"/>
            <w:r w:rsidRPr="00902BBB">
              <w:rPr>
                <w:szCs w:val="24"/>
                <w:lang w:eastAsia="en-AU"/>
              </w:rPr>
              <w:t>, A., Negrau, M., Suteu, C. L., Sabau, M., &amp; Daina, L. G. (2022). Oral Health among Elderly, Impact on Life Quality, Access of Elderly Patients to Oral Health Services and Methods to Improve Oral Health: A Narrative Review. Journal of Personalized Medicine, 12(3), 372</w:t>
            </w:r>
            <w:r w:rsidR="00DA354F">
              <w:rPr>
                <w:szCs w:val="24"/>
                <w:lang w:eastAsia="en-AU"/>
              </w:rPr>
              <w:t>-375</w:t>
            </w:r>
            <w:r w:rsidRPr="00902BBB">
              <w:rPr>
                <w:szCs w:val="24"/>
                <w:lang w:eastAsia="en-AU"/>
              </w:rPr>
              <w:t xml:space="preserve">. </w:t>
            </w:r>
            <w:hyperlink r:id="rId13" w:history="1">
              <w:r w:rsidRPr="00B206E2">
                <w:rPr>
                  <w:rStyle w:val="Hyperlink"/>
                  <w:szCs w:val="24"/>
                  <w:lang w:eastAsia="en-AU"/>
                </w:rPr>
                <w:t>https://doi.org/10.3390/jpm12030372</w:t>
              </w:r>
            </w:hyperlink>
          </w:p>
          <w:p w14:paraId="0639A8BA" w14:textId="77777777" w:rsidR="003E3C9F" w:rsidRPr="00902BBB" w:rsidRDefault="003E3C9F" w:rsidP="00C4158F">
            <w:pPr>
              <w:spacing w:line="360" w:lineRule="auto"/>
              <w:ind w:left="720" w:hanging="720"/>
              <w:rPr>
                <w:szCs w:val="24"/>
                <w:lang w:eastAsia="en-AU"/>
              </w:rPr>
            </w:pPr>
          </w:p>
          <w:p w14:paraId="6D0A8DC8" w14:textId="77777777" w:rsidR="003E3C9F" w:rsidRDefault="003E3C9F" w:rsidP="00C4158F">
            <w:pPr>
              <w:spacing w:line="360" w:lineRule="auto"/>
              <w:ind w:left="720" w:hanging="720"/>
              <w:rPr>
                <w:szCs w:val="24"/>
                <w:lang w:eastAsia="en-AU"/>
              </w:rPr>
            </w:pPr>
            <w:proofErr w:type="spellStart"/>
            <w:r w:rsidRPr="00902BBB">
              <w:rPr>
                <w:szCs w:val="24"/>
                <w:lang w:eastAsia="en-AU"/>
              </w:rPr>
              <w:t>Jockusch</w:t>
            </w:r>
            <w:proofErr w:type="spellEnd"/>
            <w:r w:rsidRPr="00902BBB">
              <w:rPr>
                <w:szCs w:val="24"/>
                <w:lang w:eastAsia="en-AU"/>
              </w:rPr>
              <w:t xml:space="preserve">, J., </w:t>
            </w:r>
            <w:proofErr w:type="spellStart"/>
            <w:r w:rsidRPr="00902BBB">
              <w:rPr>
                <w:szCs w:val="24"/>
                <w:lang w:eastAsia="en-AU"/>
              </w:rPr>
              <w:t>Hopfenmüller</w:t>
            </w:r>
            <w:proofErr w:type="spellEnd"/>
            <w:r w:rsidRPr="00902BBB">
              <w:rPr>
                <w:szCs w:val="24"/>
                <w:lang w:eastAsia="en-AU"/>
              </w:rPr>
              <w:t xml:space="preserve">, W., &amp; Nitschke, I. (2021). Influence of cognitive impairment and dementia on oral health and the utilization of dental services. BMC Oral Health, 21(1). </w:t>
            </w:r>
            <w:hyperlink r:id="rId14" w:history="1">
              <w:r w:rsidRPr="00B206E2">
                <w:rPr>
                  <w:rStyle w:val="Hyperlink"/>
                  <w:szCs w:val="24"/>
                  <w:lang w:eastAsia="en-AU"/>
                </w:rPr>
                <w:t>https://doi.org/10.1186/s12903-021-01753-3</w:t>
              </w:r>
            </w:hyperlink>
          </w:p>
          <w:p w14:paraId="48EE23EC" w14:textId="77777777" w:rsidR="003E3C9F" w:rsidRPr="00902BBB" w:rsidRDefault="003E3C9F" w:rsidP="00C4158F">
            <w:pPr>
              <w:spacing w:line="360" w:lineRule="auto"/>
              <w:ind w:left="720" w:hanging="720"/>
              <w:rPr>
                <w:szCs w:val="24"/>
                <w:lang w:eastAsia="en-AU"/>
              </w:rPr>
            </w:pPr>
          </w:p>
          <w:p w14:paraId="72E4EEB8" w14:textId="77777777" w:rsidR="003E3C9F" w:rsidRDefault="003E3C9F" w:rsidP="00C4158F">
            <w:pPr>
              <w:spacing w:line="360" w:lineRule="auto"/>
              <w:ind w:left="720" w:hanging="720"/>
              <w:rPr>
                <w:szCs w:val="24"/>
                <w:lang w:eastAsia="en-AU"/>
              </w:rPr>
            </w:pPr>
            <w:r w:rsidRPr="00902BBB">
              <w:rPr>
                <w:szCs w:val="24"/>
                <w:lang w:eastAsia="en-AU"/>
              </w:rPr>
              <w:t xml:space="preserve">Patterson Norrie, T., Villarosa, A. R., Kong, A. C., Clark, S., Macdonald, S., Srinivas, R., </w:t>
            </w:r>
            <w:proofErr w:type="spellStart"/>
            <w:r w:rsidRPr="00902BBB">
              <w:rPr>
                <w:szCs w:val="24"/>
                <w:lang w:eastAsia="en-AU"/>
              </w:rPr>
              <w:t>Anlezark</w:t>
            </w:r>
            <w:proofErr w:type="spellEnd"/>
            <w:r w:rsidRPr="00902BBB">
              <w:rPr>
                <w:szCs w:val="24"/>
                <w:lang w:eastAsia="en-AU"/>
              </w:rPr>
              <w:t xml:space="preserve">, J., &amp; George, A. (2019). Oral health in residential aged care: Perceptions of nurses and management staff. Nursing open, 7(2), 536–546. </w:t>
            </w:r>
            <w:hyperlink r:id="rId15" w:history="1">
              <w:r w:rsidRPr="00B206E2">
                <w:rPr>
                  <w:rStyle w:val="Hyperlink"/>
                  <w:szCs w:val="24"/>
                  <w:lang w:eastAsia="en-AU"/>
                </w:rPr>
                <w:t>https://doi.org/10.1002/nop2.418</w:t>
              </w:r>
            </w:hyperlink>
          </w:p>
          <w:p w14:paraId="0303EBD5" w14:textId="77777777" w:rsidR="00F55539" w:rsidRDefault="00F55539" w:rsidP="00C4158F">
            <w:pPr>
              <w:spacing w:line="360" w:lineRule="auto"/>
              <w:ind w:left="720" w:hanging="720"/>
              <w:rPr>
                <w:szCs w:val="24"/>
                <w:lang w:eastAsia="en-AU"/>
              </w:rPr>
            </w:pPr>
          </w:p>
          <w:p w14:paraId="53A70ED1" w14:textId="2D0993B5" w:rsidR="003E3C9F" w:rsidRDefault="00F55539" w:rsidP="00C4158F">
            <w:pPr>
              <w:spacing w:line="360" w:lineRule="auto"/>
              <w:ind w:left="720" w:hanging="720"/>
              <w:rPr>
                <w:szCs w:val="24"/>
                <w:lang w:eastAsia="en-AU"/>
              </w:rPr>
            </w:pPr>
            <w:proofErr w:type="spellStart"/>
            <w:r w:rsidRPr="00F55539">
              <w:rPr>
                <w:szCs w:val="24"/>
                <w:lang w:eastAsia="en-AU"/>
              </w:rPr>
              <w:t>Tsatali</w:t>
            </w:r>
            <w:proofErr w:type="spellEnd"/>
            <w:r w:rsidRPr="00F55539">
              <w:rPr>
                <w:szCs w:val="24"/>
                <w:lang w:eastAsia="en-AU"/>
              </w:rPr>
              <w:t xml:space="preserve">, M., Ioanna </w:t>
            </w:r>
            <w:proofErr w:type="spellStart"/>
            <w:r w:rsidRPr="00F55539">
              <w:rPr>
                <w:szCs w:val="24"/>
                <w:lang w:eastAsia="en-AU"/>
              </w:rPr>
              <w:t>Antigoni</w:t>
            </w:r>
            <w:proofErr w:type="spellEnd"/>
            <w:r w:rsidRPr="00F55539">
              <w:rPr>
                <w:szCs w:val="24"/>
                <w:lang w:eastAsia="en-AU"/>
              </w:rPr>
              <w:t xml:space="preserve"> Angelidou, Tsolaki, M., &amp; Teichmann, B. (2023). The Dementia Knowledge Assessment Scale, the Knowledge in Dementia Scale, and the Dementia Knowledge Assessment Tool 2: Which Is the Best Tool to Measure Dementia Knowledge in Greece? Journal of Alzheimer’s Disease Reports, 7(1), 1377–1393. </w:t>
            </w:r>
            <w:hyperlink r:id="rId16" w:history="1">
              <w:r w:rsidRPr="00B206E2">
                <w:rPr>
                  <w:rStyle w:val="Hyperlink"/>
                  <w:szCs w:val="24"/>
                  <w:lang w:eastAsia="en-AU"/>
                </w:rPr>
                <w:t>https://doi.org/10.3233/adr-230161</w:t>
              </w:r>
            </w:hyperlink>
          </w:p>
          <w:p w14:paraId="675E3CB2" w14:textId="77777777" w:rsidR="00F55539" w:rsidRPr="00902BBB" w:rsidRDefault="00F55539" w:rsidP="00C4158F">
            <w:pPr>
              <w:spacing w:line="360" w:lineRule="auto"/>
              <w:ind w:left="720" w:hanging="720"/>
              <w:rPr>
                <w:szCs w:val="24"/>
                <w:lang w:eastAsia="en-AU"/>
              </w:rPr>
            </w:pPr>
          </w:p>
          <w:p w14:paraId="7CCA5CE0" w14:textId="59B21AB6" w:rsidR="003E3C9F" w:rsidRPr="00F55539" w:rsidRDefault="003E3C9F" w:rsidP="00C4158F">
            <w:pPr>
              <w:spacing w:line="360" w:lineRule="auto"/>
              <w:ind w:left="720" w:hanging="720"/>
              <w:rPr>
                <w:szCs w:val="24"/>
                <w:lang w:eastAsia="en-AU"/>
              </w:rPr>
            </w:pPr>
            <w:r w:rsidRPr="00902BBB">
              <w:rPr>
                <w:szCs w:val="24"/>
                <w:lang w:eastAsia="en-AU"/>
              </w:rPr>
              <w:t xml:space="preserve">World Health Organization. (2023, March 14). Oral health. World Health Organization. </w:t>
            </w:r>
            <w:hyperlink r:id="rId17" w:history="1">
              <w:r w:rsidRPr="00B206E2">
                <w:rPr>
                  <w:rStyle w:val="Hyperlink"/>
                  <w:szCs w:val="24"/>
                  <w:lang w:eastAsia="en-AU"/>
                </w:rPr>
                <w:t>https://www.who.int/news-room/fact-sheets/detail/oral-health</w:t>
              </w:r>
            </w:hyperlink>
          </w:p>
        </w:tc>
      </w:tr>
    </w:tbl>
    <w:p w14:paraId="41862637" w14:textId="77777777" w:rsidR="00F55539" w:rsidRDefault="00F55539" w:rsidP="00C4158F">
      <w:pPr>
        <w:spacing w:line="360" w:lineRule="auto"/>
        <w:ind w:left="720" w:hanging="720"/>
        <w:rPr>
          <w:lang w:eastAsia="en-AU"/>
        </w:rPr>
      </w:pPr>
    </w:p>
    <w:p w14:paraId="729124DA" w14:textId="7A9D1285" w:rsidR="003E3C9F" w:rsidRDefault="003E3C9F" w:rsidP="00C4158F">
      <w:pPr>
        <w:spacing w:line="360" w:lineRule="auto"/>
        <w:ind w:left="720" w:hanging="720"/>
        <w:rPr>
          <w:lang w:eastAsia="en-AU"/>
        </w:rPr>
      </w:pPr>
    </w:p>
    <w:p w14:paraId="672077CC" w14:textId="010E3829" w:rsidR="00F55539" w:rsidRDefault="00F55539" w:rsidP="00C4158F">
      <w:pPr>
        <w:spacing w:line="360" w:lineRule="auto"/>
        <w:ind w:left="720" w:hanging="720"/>
        <w:rPr>
          <w:lang w:eastAsia="en-AU"/>
        </w:rPr>
      </w:pPr>
    </w:p>
    <w:p w14:paraId="5869C0D0" w14:textId="77777777" w:rsidR="003E3C9F" w:rsidRDefault="003E3C9F" w:rsidP="00C4158F">
      <w:pPr>
        <w:spacing w:line="360" w:lineRule="auto"/>
        <w:ind w:left="720" w:hanging="720"/>
        <w:rPr>
          <w:lang w:eastAsia="en-AU"/>
        </w:rPr>
      </w:pPr>
    </w:p>
    <w:p w14:paraId="44D25681" w14:textId="77777777" w:rsidR="003E3C9F" w:rsidRDefault="003E3C9F" w:rsidP="00C4158F">
      <w:pPr>
        <w:rPr>
          <w:lang w:eastAsia="en-AU"/>
        </w:rPr>
      </w:pPr>
    </w:p>
    <w:p w14:paraId="6C392EEA" w14:textId="544D7159" w:rsidR="003E3C9F" w:rsidRDefault="003E3C9F" w:rsidP="00C4158F">
      <w:pPr>
        <w:rPr>
          <w:lang w:eastAsia="en-AU"/>
        </w:rPr>
      </w:pPr>
      <w:r>
        <w:rPr>
          <w:lang w:eastAsia="en-AU"/>
        </w:rPr>
        <w:t>‌</w:t>
      </w:r>
    </w:p>
    <w:p w14:paraId="00994AD6" w14:textId="68C9C363" w:rsidR="003E3C9F" w:rsidRDefault="003E3C9F" w:rsidP="00C4158F">
      <w:pPr>
        <w:rPr>
          <w:lang w:eastAsia="en-AU"/>
        </w:rPr>
      </w:pPr>
      <w:r>
        <w:rPr>
          <w:lang w:eastAsia="en-AU"/>
        </w:rPr>
        <w:t>‌</w:t>
      </w:r>
    </w:p>
    <w:sectPr w:rsidR="003E3C9F" w:rsidSect="00DB217C">
      <w:headerReference w:type="default" r:id="rId18"/>
      <w:footerReference w:type="default" r:id="rId19"/>
      <w:footerReference w:type="first" r:id="rId20"/>
      <w:type w:val="continuous"/>
      <w:pgSz w:w="11906" w:h="16838" w:code="9"/>
      <w:pgMar w:top="1418" w:right="1418"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5EC97" w14:textId="77777777" w:rsidR="00583021" w:rsidRDefault="00583021">
      <w:pPr>
        <w:spacing w:after="0"/>
      </w:pPr>
      <w:r>
        <w:separator/>
      </w:r>
    </w:p>
  </w:endnote>
  <w:endnote w:type="continuationSeparator" w:id="0">
    <w:p w14:paraId="2F2B8415" w14:textId="77777777" w:rsidR="00583021" w:rsidRDefault="005830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4154E" w14:textId="60A6F66C" w:rsidR="00151E82" w:rsidRPr="005F2FB2" w:rsidRDefault="00C4158F">
    <w:pPr>
      <w:pStyle w:val="Footer"/>
      <w:tabs>
        <w:tab w:val="clear" w:pos="4513"/>
        <w:tab w:val="clear" w:pos="9026"/>
        <w:tab w:val="right" w:pos="8789"/>
      </w:tabs>
      <w:spacing w:before="0" w:line="240" w:lineRule="auto"/>
      <w:jc w:val="left"/>
      <w:rPr>
        <w:rFonts w:cstheme="minorHAnsi"/>
        <w:sz w:val="18"/>
      </w:rPr>
    </w:pPr>
    <w:r>
      <w:rPr>
        <w:rFonts w:cstheme="minorHAnsi"/>
      </w:rPr>
      <w:t>SYEDA WARDAH TAHIR (22153880)</w:t>
    </w:r>
    <w:r w:rsidR="00FB746C" w:rsidRPr="005F2FB2">
      <w:rPr>
        <w:rFonts w:cstheme="minorHAnsi"/>
      </w:rPr>
      <w:tab/>
    </w:r>
    <w:r w:rsidR="00FB746C" w:rsidRPr="005F2FB2">
      <w:rPr>
        <w:rFonts w:cstheme="minorHAnsi"/>
      </w:rPr>
      <w:fldChar w:fldCharType="begin"/>
    </w:r>
    <w:r w:rsidR="00FB746C" w:rsidRPr="005F2FB2">
      <w:rPr>
        <w:rFonts w:cstheme="minorHAnsi"/>
      </w:rPr>
      <w:instrText xml:space="preserve"> PAGE   \* MERGEFORMAT </w:instrText>
    </w:r>
    <w:r w:rsidR="00FB746C" w:rsidRPr="005F2FB2">
      <w:rPr>
        <w:rFonts w:cstheme="minorHAnsi"/>
      </w:rPr>
      <w:fldChar w:fldCharType="separate"/>
    </w:r>
    <w:r w:rsidR="00371422" w:rsidRPr="005F2FB2">
      <w:rPr>
        <w:rFonts w:cstheme="minorHAnsi"/>
        <w:noProof/>
      </w:rPr>
      <w:t>2</w:t>
    </w:r>
    <w:r w:rsidR="00FB746C" w:rsidRPr="005F2FB2">
      <w:rPr>
        <w:rFonts w:cstheme="minorHAnsi"/>
      </w:rPr>
      <w:fldChar w:fldCharType="end"/>
    </w:r>
    <w:r w:rsidR="00FB746C" w:rsidRPr="005F2FB2">
      <w:rPr>
        <w:rFonts w:cstheme="minorHAnsi"/>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F205F" w14:textId="77777777" w:rsidR="00151E82" w:rsidRDefault="00FB746C">
    <w:pPr>
      <w:pStyle w:val="Footer"/>
      <w:tabs>
        <w:tab w:val="clear" w:pos="4513"/>
        <w:tab w:val="clear" w:pos="9026"/>
        <w:tab w:val="right" w:pos="9356"/>
      </w:tabs>
      <w:spacing w:before="0" w:line="240" w:lineRule="auto"/>
      <w:jc w:val="left"/>
      <w:rPr>
        <w:sz w:val="18"/>
      </w:rPr>
    </w:pPr>
    <w:r>
      <w:tab/>
      <w:t xml:space="preserve">Page </w:t>
    </w:r>
    <w:r>
      <w:fldChar w:fldCharType="begin"/>
    </w:r>
    <w:r>
      <w:instrText xml:space="preserve"> PAGE   \* MERGEFORMAT </w:instrText>
    </w:r>
    <w:r>
      <w:fldChar w:fldCharType="separate"/>
    </w:r>
    <w:r w:rsidR="00E55A1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E1F31" w14:textId="77777777" w:rsidR="00583021" w:rsidRDefault="00583021">
      <w:pPr>
        <w:spacing w:after="0"/>
      </w:pPr>
      <w:r>
        <w:separator/>
      </w:r>
    </w:p>
  </w:footnote>
  <w:footnote w:type="continuationSeparator" w:id="0">
    <w:p w14:paraId="71851620" w14:textId="77777777" w:rsidR="00583021" w:rsidRDefault="005830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B0622" w14:textId="77777777" w:rsidR="00151E82" w:rsidRDefault="00AA4D64">
    <w:pPr>
      <w:pStyle w:val="Header"/>
      <w:tabs>
        <w:tab w:val="clear" w:pos="4513"/>
        <w:tab w:val="clear" w:pos="9026"/>
      </w:tabs>
    </w:pPr>
    <w:r>
      <w:t>AGEN</w:t>
    </w:r>
    <w:r w:rsidR="003D03D8">
      <w:t xml:space="preserve"> </w:t>
    </w:r>
    <w:r>
      <w:t>7005</w:t>
    </w:r>
    <w:r w:rsidR="000F6F09">
      <w:t xml:space="preserve"> R</w:t>
    </w:r>
    <w:r w:rsidR="003D03D8">
      <w:t>PDP</w:t>
    </w:r>
    <w:r w:rsidR="008E3122">
      <w:t xml:space="preserve"> 20</w:t>
    </w:r>
    <w:r w:rsidR="00721815">
      <w:t>2</w:t>
    </w:r>
    <w:r w:rsidR="0033315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482E"/>
    <w:multiLevelType w:val="multilevel"/>
    <w:tmpl w:val="B1D6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54D15"/>
    <w:multiLevelType w:val="hybridMultilevel"/>
    <w:tmpl w:val="A6BAA79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B1EF2"/>
    <w:multiLevelType w:val="multilevel"/>
    <w:tmpl w:val="1258F9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9CE5D39"/>
    <w:multiLevelType w:val="hybridMultilevel"/>
    <w:tmpl w:val="592A2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7C685C"/>
    <w:multiLevelType w:val="hybridMultilevel"/>
    <w:tmpl w:val="986E3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E77CBD"/>
    <w:multiLevelType w:val="hybridMultilevel"/>
    <w:tmpl w:val="56EE82B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11221D"/>
    <w:multiLevelType w:val="hybridMultilevel"/>
    <w:tmpl w:val="E298A3D0"/>
    <w:lvl w:ilvl="0" w:tplc="CAC48064">
      <w:start w:val="1"/>
      <w:numFmt w:val="decimal"/>
      <w:lvlText w:val="%1."/>
      <w:lvlJc w:val="left"/>
      <w:pPr>
        <w:tabs>
          <w:tab w:val="num" w:pos="720"/>
        </w:tabs>
        <w:ind w:left="720" w:hanging="360"/>
      </w:pPr>
    </w:lvl>
    <w:lvl w:ilvl="1" w:tplc="E9BE9D4A" w:tentative="1">
      <w:start w:val="1"/>
      <w:numFmt w:val="decimal"/>
      <w:lvlText w:val="%2."/>
      <w:lvlJc w:val="left"/>
      <w:pPr>
        <w:tabs>
          <w:tab w:val="num" w:pos="1440"/>
        </w:tabs>
        <w:ind w:left="1440" w:hanging="360"/>
      </w:pPr>
    </w:lvl>
    <w:lvl w:ilvl="2" w:tplc="89643B58" w:tentative="1">
      <w:start w:val="1"/>
      <w:numFmt w:val="decimal"/>
      <w:lvlText w:val="%3."/>
      <w:lvlJc w:val="left"/>
      <w:pPr>
        <w:tabs>
          <w:tab w:val="num" w:pos="2160"/>
        </w:tabs>
        <w:ind w:left="2160" w:hanging="360"/>
      </w:pPr>
    </w:lvl>
    <w:lvl w:ilvl="3" w:tplc="FE2C9940" w:tentative="1">
      <w:start w:val="1"/>
      <w:numFmt w:val="decimal"/>
      <w:lvlText w:val="%4."/>
      <w:lvlJc w:val="left"/>
      <w:pPr>
        <w:tabs>
          <w:tab w:val="num" w:pos="2880"/>
        </w:tabs>
        <w:ind w:left="2880" w:hanging="360"/>
      </w:pPr>
    </w:lvl>
    <w:lvl w:ilvl="4" w:tplc="CE32FB28" w:tentative="1">
      <w:start w:val="1"/>
      <w:numFmt w:val="decimal"/>
      <w:lvlText w:val="%5."/>
      <w:lvlJc w:val="left"/>
      <w:pPr>
        <w:tabs>
          <w:tab w:val="num" w:pos="3600"/>
        </w:tabs>
        <w:ind w:left="3600" w:hanging="360"/>
      </w:pPr>
    </w:lvl>
    <w:lvl w:ilvl="5" w:tplc="D1A2C0B6" w:tentative="1">
      <w:start w:val="1"/>
      <w:numFmt w:val="decimal"/>
      <w:lvlText w:val="%6."/>
      <w:lvlJc w:val="left"/>
      <w:pPr>
        <w:tabs>
          <w:tab w:val="num" w:pos="4320"/>
        </w:tabs>
        <w:ind w:left="4320" w:hanging="360"/>
      </w:pPr>
    </w:lvl>
    <w:lvl w:ilvl="6" w:tplc="A76A254C" w:tentative="1">
      <w:start w:val="1"/>
      <w:numFmt w:val="decimal"/>
      <w:lvlText w:val="%7."/>
      <w:lvlJc w:val="left"/>
      <w:pPr>
        <w:tabs>
          <w:tab w:val="num" w:pos="5040"/>
        </w:tabs>
        <w:ind w:left="5040" w:hanging="360"/>
      </w:pPr>
    </w:lvl>
    <w:lvl w:ilvl="7" w:tplc="506837E8" w:tentative="1">
      <w:start w:val="1"/>
      <w:numFmt w:val="decimal"/>
      <w:lvlText w:val="%8."/>
      <w:lvlJc w:val="left"/>
      <w:pPr>
        <w:tabs>
          <w:tab w:val="num" w:pos="5760"/>
        </w:tabs>
        <w:ind w:left="5760" w:hanging="360"/>
      </w:pPr>
    </w:lvl>
    <w:lvl w:ilvl="8" w:tplc="209C7B2C" w:tentative="1">
      <w:start w:val="1"/>
      <w:numFmt w:val="decimal"/>
      <w:lvlText w:val="%9."/>
      <w:lvlJc w:val="left"/>
      <w:pPr>
        <w:tabs>
          <w:tab w:val="num" w:pos="6480"/>
        </w:tabs>
        <w:ind w:left="6480" w:hanging="360"/>
      </w:pPr>
    </w:lvl>
  </w:abstractNum>
  <w:abstractNum w:abstractNumId="7" w15:restartNumberingAfterBreak="0">
    <w:nsid w:val="1A501C14"/>
    <w:multiLevelType w:val="hybridMultilevel"/>
    <w:tmpl w:val="E2F0B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BA4695"/>
    <w:multiLevelType w:val="multilevel"/>
    <w:tmpl w:val="B6C2B886"/>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4B72C0E"/>
    <w:multiLevelType w:val="multilevel"/>
    <w:tmpl w:val="EEF4AF7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9681580"/>
    <w:multiLevelType w:val="hybridMultilevel"/>
    <w:tmpl w:val="FE349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E97941"/>
    <w:multiLevelType w:val="multilevel"/>
    <w:tmpl w:val="63EA890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D3F54D8"/>
    <w:multiLevelType w:val="hybridMultilevel"/>
    <w:tmpl w:val="592A2334"/>
    <w:lvl w:ilvl="0" w:tplc="EFF2BC40">
      <w:start w:val="1"/>
      <w:numFmt w:val="bullet"/>
      <w:lvlText w:val=""/>
      <w:lvlJc w:val="left"/>
      <w:pPr>
        <w:tabs>
          <w:tab w:val="num" w:pos="644"/>
        </w:tabs>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8A67E0"/>
    <w:multiLevelType w:val="hybridMultilevel"/>
    <w:tmpl w:val="6FB4B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3E5A0B"/>
    <w:multiLevelType w:val="hybridMultilevel"/>
    <w:tmpl w:val="45982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1637F6"/>
    <w:multiLevelType w:val="hybridMultilevel"/>
    <w:tmpl w:val="1B32D45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BD42EE5"/>
    <w:multiLevelType w:val="hybridMultilevel"/>
    <w:tmpl w:val="8834D84C"/>
    <w:lvl w:ilvl="0" w:tplc="7F88F4F8">
      <w:start w:val="1"/>
      <w:numFmt w:val="bullet"/>
      <w:pStyle w:val="Bulletlist"/>
      <w:lvlText w:val=""/>
      <w:lvlJc w:val="left"/>
      <w:pPr>
        <w:tabs>
          <w:tab w:val="num" w:pos="644"/>
        </w:tabs>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DB2D8D"/>
    <w:multiLevelType w:val="hybridMultilevel"/>
    <w:tmpl w:val="6DBC5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D92AC4"/>
    <w:multiLevelType w:val="hybridMultilevel"/>
    <w:tmpl w:val="9BF0DA6C"/>
    <w:lvl w:ilvl="0" w:tplc="EC3694A4">
      <w:start w:val="1"/>
      <w:numFmt w:val="bullet"/>
      <w:lvlText w:val=""/>
      <w:lvlJc w:val="left"/>
      <w:pPr>
        <w:tabs>
          <w:tab w:val="num" w:pos="644"/>
        </w:tabs>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7E03DF"/>
    <w:multiLevelType w:val="hybridMultilevel"/>
    <w:tmpl w:val="66F4FFB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290355"/>
    <w:multiLevelType w:val="hybridMultilevel"/>
    <w:tmpl w:val="FF145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37126D"/>
    <w:multiLevelType w:val="hybridMultilevel"/>
    <w:tmpl w:val="49EA038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2058485">
    <w:abstractNumId w:val="2"/>
  </w:num>
  <w:num w:numId="2" w16cid:durableId="1730230969">
    <w:abstractNumId w:val="9"/>
  </w:num>
  <w:num w:numId="3" w16cid:durableId="57016475">
    <w:abstractNumId w:val="17"/>
  </w:num>
  <w:num w:numId="4" w16cid:durableId="1719863309">
    <w:abstractNumId w:val="7"/>
  </w:num>
  <w:num w:numId="5" w16cid:durableId="1860898338">
    <w:abstractNumId w:val="11"/>
  </w:num>
  <w:num w:numId="6" w16cid:durableId="177350273">
    <w:abstractNumId w:val="11"/>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 w16cid:durableId="1980187864">
    <w:abstractNumId w:val="3"/>
  </w:num>
  <w:num w:numId="8" w16cid:durableId="1893148012">
    <w:abstractNumId w:val="12"/>
  </w:num>
  <w:num w:numId="9" w16cid:durableId="932277369">
    <w:abstractNumId w:val="16"/>
  </w:num>
  <w:num w:numId="10" w16cid:durableId="267007511">
    <w:abstractNumId w:val="8"/>
  </w:num>
  <w:num w:numId="11" w16cid:durableId="609582582">
    <w:abstractNumId w:val="18"/>
  </w:num>
  <w:num w:numId="12" w16cid:durableId="1199902439">
    <w:abstractNumId w:val="6"/>
  </w:num>
  <w:num w:numId="13" w16cid:durableId="1059595938">
    <w:abstractNumId w:val="4"/>
  </w:num>
  <w:num w:numId="14" w16cid:durableId="234778833">
    <w:abstractNumId w:val="20"/>
  </w:num>
  <w:num w:numId="15" w16cid:durableId="1196385891">
    <w:abstractNumId w:val="10"/>
  </w:num>
  <w:num w:numId="16" w16cid:durableId="144977104">
    <w:abstractNumId w:val="14"/>
  </w:num>
  <w:num w:numId="17" w16cid:durableId="96022413">
    <w:abstractNumId w:val="1"/>
  </w:num>
  <w:num w:numId="18" w16cid:durableId="326060595">
    <w:abstractNumId w:val="13"/>
  </w:num>
  <w:num w:numId="19" w16cid:durableId="1031537275">
    <w:abstractNumId w:val="0"/>
  </w:num>
  <w:num w:numId="20" w16cid:durableId="1232693578">
    <w:abstractNumId w:val="5"/>
  </w:num>
  <w:num w:numId="21" w16cid:durableId="944191317">
    <w:abstractNumId w:val="19"/>
  </w:num>
  <w:num w:numId="22" w16cid:durableId="1667900807">
    <w:abstractNumId w:val="15"/>
  </w:num>
  <w:num w:numId="23" w16cid:durableId="5390999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D19"/>
    <w:rsid w:val="000035EF"/>
    <w:rsid w:val="00034C64"/>
    <w:rsid w:val="00041B30"/>
    <w:rsid w:val="00062816"/>
    <w:rsid w:val="00077313"/>
    <w:rsid w:val="0008637F"/>
    <w:rsid w:val="000A05FC"/>
    <w:rsid w:val="000B64C1"/>
    <w:rsid w:val="000F6F09"/>
    <w:rsid w:val="0012665B"/>
    <w:rsid w:val="00151E82"/>
    <w:rsid w:val="00192731"/>
    <w:rsid w:val="001C38BE"/>
    <w:rsid w:val="001E5322"/>
    <w:rsid w:val="001F43A3"/>
    <w:rsid w:val="00202D19"/>
    <w:rsid w:val="002107A6"/>
    <w:rsid w:val="00213C2F"/>
    <w:rsid w:val="00235C98"/>
    <w:rsid w:val="00267265"/>
    <w:rsid w:val="00281F82"/>
    <w:rsid w:val="00286662"/>
    <w:rsid w:val="002875C1"/>
    <w:rsid w:val="00290F77"/>
    <w:rsid w:val="002B1151"/>
    <w:rsid w:val="002B5840"/>
    <w:rsid w:val="002F320D"/>
    <w:rsid w:val="00305179"/>
    <w:rsid w:val="003124B5"/>
    <w:rsid w:val="00333155"/>
    <w:rsid w:val="00342532"/>
    <w:rsid w:val="003553A0"/>
    <w:rsid w:val="00356074"/>
    <w:rsid w:val="00371422"/>
    <w:rsid w:val="00393931"/>
    <w:rsid w:val="00395CBC"/>
    <w:rsid w:val="00396F38"/>
    <w:rsid w:val="003B4273"/>
    <w:rsid w:val="003D03D8"/>
    <w:rsid w:val="003D3376"/>
    <w:rsid w:val="003E3C9F"/>
    <w:rsid w:val="003F1FB8"/>
    <w:rsid w:val="003F59CA"/>
    <w:rsid w:val="004071F8"/>
    <w:rsid w:val="0040770F"/>
    <w:rsid w:val="00420383"/>
    <w:rsid w:val="004277E0"/>
    <w:rsid w:val="0043207B"/>
    <w:rsid w:val="00444B04"/>
    <w:rsid w:val="00445AAD"/>
    <w:rsid w:val="00461BA6"/>
    <w:rsid w:val="00484157"/>
    <w:rsid w:val="004A5321"/>
    <w:rsid w:val="004E0020"/>
    <w:rsid w:val="004F290B"/>
    <w:rsid w:val="004F48DC"/>
    <w:rsid w:val="005336FB"/>
    <w:rsid w:val="005522C5"/>
    <w:rsid w:val="00583021"/>
    <w:rsid w:val="005C44F2"/>
    <w:rsid w:val="005C6651"/>
    <w:rsid w:val="005F2FB2"/>
    <w:rsid w:val="005F3F34"/>
    <w:rsid w:val="00603A75"/>
    <w:rsid w:val="00616A1E"/>
    <w:rsid w:val="00624437"/>
    <w:rsid w:val="006B3989"/>
    <w:rsid w:val="006E4408"/>
    <w:rsid w:val="00701359"/>
    <w:rsid w:val="00705E25"/>
    <w:rsid w:val="00720F69"/>
    <w:rsid w:val="00721815"/>
    <w:rsid w:val="00734341"/>
    <w:rsid w:val="00782F74"/>
    <w:rsid w:val="007B6FA0"/>
    <w:rsid w:val="007C384F"/>
    <w:rsid w:val="007D5900"/>
    <w:rsid w:val="007E0D2F"/>
    <w:rsid w:val="007E2190"/>
    <w:rsid w:val="007E7722"/>
    <w:rsid w:val="007F0333"/>
    <w:rsid w:val="00803C11"/>
    <w:rsid w:val="00806181"/>
    <w:rsid w:val="008369B6"/>
    <w:rsid w:val="00875AC3"/>
    <w:rsid w:val="00876B5E"/>
    <w:rsid w:val="00882841"/>
    <w:rsid w:val="008867AA"/>
    <w:rsid w:val="008927BB"/>
    <w:rsid w:val="008B3F9E"/>
    <w:rsid w:val="008D2AA5"/>
    <w:rsid w:val="008E3122"/>
    <w:rsid w:val="0090158F"/>
    <w:rsid w:val="00902BBB"/>
    <w:rsid w:val="00912AA1"/>
    <w:rsid w:val="0091761C"/>
    <w:rsid w:val="0092171B"/>
    <w:rsid w:val="00922B9E"/>
    <w:rsid w:val="009619A4"/>
    <w:rsid w:val="00962ED8"/>
    <w:rsid w:val="009B61E0"/>
    <w:rsid w:val="009C2137"/>
    <w:rsid w:val="009D2655"/>
    <w:rsid w:val="009D5717"/>
    <w:rsid w:val="00A11712"/>
    <w:rsid w:val="00A22162"/>
    <w:rsid w:val="00A330FE"/>
    <w:rsid w:val="00A73C1D"/>
    <w:rsid w:val="00AA2B90"/>
    <w:rsid w:val="00AA4D64"/>
    <w:rsid w:val="00AE1225"/>
    <w:rsid w:val="00AF0A39"/>
    <w:rsid w:val="00B034EC"/>
    <w:rsid w:val="00B11723"/>
    <w:rsid w:val="00B335FD"/>
    <w:rsid w:val="00B33623"/>
    <w:rsid w:val="00B655EC"/>
    <w:rsid w:val="00B733B8"/>
    <w:rsid w:val="00BA43C4"/>
    <w:rsid w:val="00BB3DAB"/>
    <w:rsid w:val="00BF2DEB"/>
    <w:rsid w:val="00BF7F5C"/>
    <w:rsid w:val="00C01BFE"/>
    <w:rsid w:val="00C4158F"/>
    <w:rsid w:val="00C87CB0"/>
    <w:rsid w:val="00C94638"/>
    <w:rsid w:val="00CA1E21"/>
    <w:rsid w:val="00CE4051"/>
    <w:rsid w:val="00CF671A"/>
    <w:rsid w:val="00D01634"/>
    <w:rsid w:val="00D02DAC"/>
    <w:rsid w:val="00D451D1"/>
    <w:rsid w:val="00D61CAE"/>
    <w:rsid w:val="00D82F23"/>
    <w:rsid w:val="00D85647"/>
    <w:rsid w:val="00D94E14"/>
    <w:rsid w:val="00DA354F"/>
    <w:rsid w:val="00DB1C44"/>
    <w:rsid w:val="00DB217C"/>
    <w:rsid w:val="00DB6E46"/>
    <w:rsid w:val="00DC61D6"/>
    <w:rsid w:val="00DD1C70"/>
    <w:rsid w:val="00E345BC"/>
    <w:rsid w:val="00E35342"/>
    <w:rsid w:val="00E45CF9"/>
    <w:rsid w:val="00E47396"/>
    <w:rsid w:val="00E55A1B"/>
    <w:rsid w:val="00E73263"/>
    <w:rsid w:val="00E77D63"/>
    <w:rsid w:val="00EA2FE7"/>
    <w:rsid w:val="00EB1D85"/>
    <w:rsid w:val="00F135AF"/>
    <w:rsid w:val="00F36A0F"/>
    <w:rsid w:val="00F55539"/>
    <w:rsid w:val="00F868D6"/>
    <w:rsid w:val="00F871AD"/>
    <w:rsid w:val="00F87940"/>
    <w:rsid w:val="00FB746C"/>
    <w:rsid w:val="00FE7F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AB1EF"/>
  <w15:docId w15:val="{EDE034B9-3CE6-419C-96A0-6B05D424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FB2"/>
    <w:pPr>
      <w:spacing w:before="120" w:after="120" w:line="480" w:lineRule="auto"/>
    </w:pPr>
    <w:rPr>
      <w:rFonts w:asciiTheme="minorHAnsi" w:hAnsiTheme="minorHAnsi"/>
      <w:sz w:val="24"/>
      <w:szCs w:val="22"/>
      <w:lang w:eastAsia="en-US"/>
    </w:rPr>
  </w:style>
  <w:style w:type="paragraph" w:styleId="Heading1">
    <w:name w:val="heading 1"/>
    <w:basedOn w:val="Normal"/>
    <w:next w:val="Normal"/>
    <w:qFormat/>
    <w:rsid w:val="005F2FB2"/>
    <w:pPr>
      <w:keepNext/>
      <w:keepLines/>
      <w:numPr>
        <w:numId w:val="5"/>
      </w:numPr>
      <w:spacing w:before="360"/>
      <w:ind w:left="431" w:hanging="431"/>
      <w:outlineLvl w:val="0"/>
    </w:pPr>
    <w:rPr>
      <w:rFonts w:asciiTheme="majorHAnsi" w:eastAsia="Times New Roman" w:hAnsiTheme="majorHAnsi"/>
      <w:bCs/>
      <w:sz w:val="28"/>
      <w:szCs w:val="28"/>
    </w:rPr>
  </w:style>
  <w:style w:type="paragraph" w:styleId="Heading2">
    <w:name w:val="heading 2"/>
    <w:basedOn w:val="Normal"/>
    <w:next w:val="Normal"/>
    <w:qFormat/>
    <w:rsid w:val="005F2FB2"/>
    <w:pPr>
      <w:keepNext/>
      <w:keepLines/>
      <w:numPr>
        <w:ilvl w:val="1"/>
        <w:numId w:val="5"/>
      </w:numPr>
      <w:spacing w:before="240"/>
      <w:outlineLvl w:val="1"/>
    </w:pPr>
    <w:rPr>
      <w:rFonts w:eastAsia="Times New Roman"/>
      <w:bCs/>
      <w:szCs w:val="26"/>
    </w:rPr>
  </w:style>
  <w:style w:type="paragraph" w:styleId="Heading3">
    <w:name w:val="heading 3"/>
    <w:basedOn w:val="Normal"/>
    <w:next w:val="Normal"/>
    <w:qFormat/>
    <w:pPr>
      <w:keepNext/>
      <w:numPr>
        <w:ilvl w:val="2"/>
        <w:numId w:val="5"/>
      </w:numPr>
      <w:spacing w:before="240" w:after="60"/>
      <w:outlineLvl w:val="2"/>
    </w:pPr>
    <w:rPr>
      <w:rFonts w:eastAsia="Times New Roman"/>
      <w:b/>
      <w:bCs/>
      <w:szCs w:val="26"/>
    </w:rPr>
  </w:style>
  <w:style w:type="paragraph" w:styleId="Heading4">
    <w:name w:val="heading 4"/>
    <w:basedOn w:val="Normal"/>
    <w:next w:val="Normal"/>
    <w:qFormat/>
    <w:pPr>
      <w:keepNext/>
      <w:numPr>
        <w:ilvl w:val="3"/>
        <w:numId w:val="5"/>
      </w:numPr>
      <w:spacing w:before="240" w:after="60"/>
      <w:outlineLvl w:val="3"/>
    </w:pPr>
    <w:rPr>
      <w:rFonts w:ascii="Calibri" w:eastAsia="Times New Roman" w:hAnsi="Calibri"/>
      <w:b/>
      <w:bCs/>
      <w:sz w:val="28"/>
      <w:szCs w:val="28"/>
    </w:rPr>
  </w:style>
  <w:style w:type="paragraph" w:styleId="Heading5">
    <w:name w:val="heading 5"/>
    <w:basedOn w:val="Normal"/>
    <w:next w:val="Normal"/>
    <w:qFormat/>
    <w:pPr>
      <w:numPr>
        <w:ilvl w:val="4"/>
        <w:numId w:val="5"/>
      </w:numPr>
      <w:spacing w:before="240" w:after="60"/>
      <w:outlineLvl w:val="4"/>
    </w:pPr>
    <w:rPr>
      <w:rFonts w:ascii="Calibri" w:eastAsia="Times New Roman" w:hAnsi="Calibri"/>
      <w:b/>
      <w:bCs/>
      <w:i/>
      <w:iCs/>
      <w:sz w:val="26"/>
      <w:szCs w:val="26"/>
    </w:rPr>
  </w:style>
  <w:style w:type="paragraph" w:styleId="Heading6">
    <w:name w:val="heading 6"/>
    <w:basedOn w:val="Normal"/>
    <w:next w:val="Normal"/>
    <w:qFormat/>
    <w:pPr>
      <w:numPr>
        <w:ilvl w:val="5"/>
        <w:numId w:val="5"/>
      </w:numPr>
      <w:spacing w:before="240" w:after="60"/>
      <w:outlineLvl w:val="5"/>
    </w:pPr>
    <w:rPr>
      <w:rFonts w:ascii="Calibri" w:eastAsia="Times New Roman" w:hAnsi="Calibri"/>
      <w:b/>
      <w:bCs/>
    </w:rPr>
  </w:style>
  <w:style w:type="paragraph" w:styleId="Heading7">
    <w:name w:val="heading 7"/>
    <w:basedOn w:val="Normal"/>
    <w:next w:val="Normal"/>
    <w:qFormat/>
    <w:pPr>
      <w:numPr>
        <w:ilvl w:val="6"/>
        <w:numId w:val="5"/>
      </w:numPr>
      <w:spacing w:before="240" w:after="60"/>
      <w:outlineLvl w:val="6"/>
    </w:pPr>
    <w:rPr>
      <w:rFonts w:ascii="Calibri" w:eastAsia="Times New Roman" w:hAnsi="Calibri"/>
      <w:szCs w:val="24"/>
    </w:rPr>
  </w:style>
  <w:style w:type="paragraph" w:styleId="Heading8">
    <w:name w:val="heading 8"/>
    <w:basedOn w:val="Normal"/>
    <w:next w:val="Normal"/>
    <w:qFormat/>
    <w:pPr>
      <w:numPr>
        <w:ilvl w:val="7"/>
        <w:numId w:val="5"/>
      </w:numPr>
      <w:spacing w:before="240" w:after="60"/>
      <w:outlineLvl w:val="7"/>
    </w:pPr>
    <w:rPr>
      <w:rFonts w:ascii="Calibri" w:eastAsia="Times New Roman" w:hAnsi="Calibri"/>
      <w:i/>
      <w:iCs/>
      <w:szCs w:val="24"/>
    </w:rPr>
  </w:style>
  <w:style w:type="paragraph" w:styleId="Heading9">
    <w:name w:val="heading 9"/>
    <w:basedOn w:val="Normal"/>
    <w:next w:val="Normal"/>
    <w:qFormat/>
    <w:pPr>
      <w:numPr>
        <w:ilvl w:val="8"/>
        <w:numId w:val="5"/>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eastAsia="Times New Roman"/>
      <w:b/>
      <w:bCs/>
      <w:sz w:val="28"/>
      <w:szCs w:val="28"/>
      <w:lang w:eastAsia="en-US"/>
    </w:rPr>
  </w:style>
  <w:style w:type="character" w:customStyle="1" w:styleId="Heading2Char">
    <w:name w:val="Heading 2 Char"/>
    <w:basedOn w:val="DefaultParagraphFont"/>
    <w:rPr>
      <w:rFonts w:eastAsia="Times New Roman"/>
      <w:b/>
      <w:bCs/>
      <w:sz w:val="24"/>
      <w:szCs w:val="26"/>
      <w:lang w:eastAsia="en-US"/>
    </w:rPr>
  </w:style>
  <w:style w:type="paragraph" w:styleId="Title">
    <w:name w:val="Title"/>
    <w:basedOn w:val="Normal"/>
    <w:next w:val="Normal"/>
    <w:qFormat/>
    <w:pPr>
      <w:pBdr>
        <w:bottom w:val="single" w:sz="12" w:space="4" w:color="008000"/>
      </w:pBdr>
      <w:spacing w:after="300"/>
      <w:jc w:val="center"/>
    </w:pPr>
    <w:rPr>
      <w:rFonts w:eastAsia="Times New Roman"/>
      <w:spacing w:val="5"/>
      <w:kern w:val="28"/>
      <w:sz w:val="32"/>
      <w:szCs w:val="52"/>
      <w:lang w:eastAsia="en-AU"/>
    </w:rPr>
  </w:style>
  <w:style w:type="character" w:customStyle="1" w:styleId="TitleChar">
    <w:name w:val="Title Char"/>
    <w:basedOn w:val="DefaultParagraphFont"/>
    <w:rPr>
      <w:rFonts w:eastAsia="Times New Roman"/>
      <w:spacing w:val="5"/>
      <w:kern w:val="28"/>
      <w:sz w:val="32"/>
      <w:szCs w:val="52"/>
    </w:rPr>
  </w:style>
  <w:style w:type="character" w:customStyle="1" w:styleId="Heading3Char">
    <w:name w:val="Heading 3 Char"/>
    <w:basedOn w:val="DefaultParagraphFont"/>
    <w:rPr>
      <w:rFonts w:eastAsia="Times New Roman"/>
      <w:b/>
      <w:bCs/>
      <w:sz w:val="22"/>
      <w:szCs w:val="26"/>
      <w:lang w:eastAsia="en-US"/>
    </w:rPr>
  </w:style>
  <w:style w:type="character" w:customStyle="1" w:styleId="Heading4Char">
    <w:name w:val="Heading 4 Char"/>
    <w:basedOn w:val="DefaultParagraphFont"/>
    <w:semiHidden/>
    <w:rPr>
      <w:rFonts w:eastAsia="Times New Roman"/>
      <w:b/>
      <w:bCs/>
      <w:sz w:val="28"/>
      <w:szCs w:val="28"/>
      <w:lang w:eastAsia="en-US"/>
    </w:rPr>
  </w:style>
  <w:style w:type="character" w:customStyle="1" w:styleId="Heading5Char">
    <w:name w:val="Heading 5 Char"/>
    <w:basedOn w:val="DefaultParagraphFont"/>
    <w:semiHidden/>
    <w:rPr>
      <w:rFonts w:eastAsia="Times New Roman"/>
      <w:b/>
      <w:bCs/>
      <w:i/>
      <w:iCs/>
      <w:sz w:val="26"/>
      <w:szCs w:val="26"/>
      <w:lang w:eastAsia="en-US"/>
    </w:rPr>
  </w:style>
  <w:style w:type="character" w:customStyle="1" w:styleId="Heading6Char">
    <w:name w:val="Heading 6 Char"/>
    <w:basedOn w:val="DefaultParagraphFont"/>
    <w:semiHidden/>
    <w:rPr>
      <w:rFonts w:eastAsia="Times New Roman"/>
      <w:b/>
      <w:bCs/>
      <w:sz w:val="22"/>
      <w:szCs w:val="22"/>
      <w:lang w:eastAsia="en-US"/>
    </w:rPr>
  </w:style>
  <w:style w:type="character" w:customStyle="1" w:styleId="Heading7Char">
    <w:name w:val="Heading 7 Char"/>
    <w:basedOn w:val="DefaultParagraphFont"/>
    <w:semiHidden/>
    <w:rPr>
      <w:rFonts w:eastAsia="Times New Roman"/>
      <w:sz w:val="24"/>
      <w:szCs w:val="24"/>
      <w:lang w:eastAsia="en-US"/>
    </w:rPr>
  </w:style>
  <w:style w:type="character" w:customStyle="1" w:styleId="Heading8Char">
    <w:name w:val="Heading 8 Char"/>
    <w:basedOn w:val="DefaultParagraphFont"/>
    <w:semiHidden/>
    <w:rPr>
      <w:rFonts w:eastAsia="Times New Roman"/>
      <w:i/>
      <w:iCs/>
      <w:sz w:val="24"/>
      <w:szCs w:val="24"/>
      <w:lang w:eastAsia="en-US"/>
    </w:rPr>
  </w:style>
  <w:style w:type="character" w:customStyle="1" w:styleId="Heading9Char">
    <w:name w:val="Heading 9 Char"/>
    <w:basedOn w:val="DefaultParagraphFont"/>
    <w:semiHidden/>
    <w:rPr>
      <w:rFonts w:ascii="Cambria" w:eastAsia="Times New Roman" w:hAnsi="Cambria"/>
      <w:sz w:val="22"/>
      <w:szCs w:val="22"/>
      <w:lang w:eastAsia="en-US"/>
    </w:rPr>
  </w:style>
  <w:style w:type="paragraph" w:styleId="FootnoteText">
    <w:name w:val="footnote text"/>
    <w:basedOn w:val="Normal"/>
    <w:semiHidden/>
    <w:rPr>
      <w:sz w:val="20"/>
      <w:szCs w:val="20"/>
    </w:rPr>
  </w:style>
  <w:style w:type="paragraph" w:customStyle="1" w:styleId="Reference">
    <w:name w:val="Reference"/>
    <w:basedOn w:val="Normal"/>
    <w:qFormat/>
    <w:pPr>
      <w:spacing w:line="360" w:lineRule="auto"/>
      <w:ind w:left="340" w:hanging="340"/>
    </w:p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semiHidden/>
    <w:unhideWhenUsed/>
    <w:rPr>
      <w:color w:val="800080"/>
      <w:u w:val="single"/>
    </w:rPr>
  </w:style>
  <w:style w:type="paragraph" w:customStyle="1" w:styleId="txttitle">
    <w:name w:val="txttitle"/>
    <w:basedOn w:val="Normal"/>
    <w:pPr>
      <w:spacing w:after="0"/>
    </w:pPr>
    <w:rPr>
      <w:rFonts w:ascii="Times New Roman" w:eastAsia="Times New Roman" w:hAnsi="Times New Roman"/>
      <w:sz w:val="42"/>
      <w:szCs w:val="42"/>
      <w:lang w:eastAsia="en-AU"/>
    </w:rPr>
  </w:style>
  <w:style w:type="character" w:styleId="FootnoteReference">
    <w:name w:val="footnote reference"/>
    <w:basedOn w:val="DefaultParagraphFont"/>
    <w:semiHidden/>
    <w:rPr>
      <w:vertAlign w:val="superscript"/>
    </w:rPr>
  </w:style>
  <w:style w:type="paragraph" w:styleId="Header">
    <w:name w:val="header"/>
    <w:basedOn w:val="Normal"/>
    <w:unhideWhenUsed/>
    <w:qFormat/>
    <w:rsid w:val="005F2FB2"/>
    <w:pPr>
      <w:tabs>
        <w:tab w:val="center" w:pos="4513"/>
        <w:tab w:val="right" w:pos="9026"/>
      </w:tabs>
      <w:spacing w:after="0"/>
      <w:jc w:val="right"/>
    </w:pPr>
    <w:rPr>
      <w:i/>
    </w:rPr>
  </w:style>
  <w:style w:type="character" w:customStyle="1" w:styleId="HeaderChar">
    <w:name w:val="Header Char"/>
    <w:basedOn w:val="DefaultParagraphFont"/>
    <w:rPr>
      <w:i/>
      <w:sz w:val="22"/>
      <w:szCs w:val="22"/>
      <w:lang w:eastAsia="en-US"/>
    </w:rPr>
  </w:style>
  <w:style w:type="paragraph" w:styleId="Footer">
    <w:name w:val="footer"/>
    <w:basedOn w:val="Normal"/>
    <w:unhideWhenUsed/>
    <w:pPr>
      <w:tabs>
        <w:tab w:val="center" w:pos="4513"/>
        <w:tab w:val="right" w:pos="9026"/>
      </w:tabs>
      <w:spacing w:after="0"/>
      <w:jc w:val="right"/>
    </w:pPr>
  </w:style>
  <w:style w:type="character" w:customStyle="1" w:styleId="FooterChar">
    <w:name w:val="Footer Char"/>
    <w:basedOn w:val="DefaultParagraphFont"/>
    <w:rPr>
      <w:sz w:val="22"/>
      <w:szCs w:val="22"/>
      <w:lang w:eastAsia="en-US"/>
    </w:rPr>
  </w:style>
  <w:style w:type="paragraph" w:customStyle="1" w:styleId="Bulletlist">
    <w:name w:val="Bullet list"/>
    <w:basedOn w:val="Normal"/>
    <w:pPr>
      <w:numPr>
        <w:numId w:val="9"/>
      </w:numPr>
      <w:tabs>
        <w:tab w:val="clear" w:pos="644"/>
        <w:tab w:val="left" w:pos="567"/>
      </w:tabs>
      <w:ind w:left="568" w:hanging="284"/>
    </w:pPr>
    <w:rPr>
      <w:lang w:eastAsia="en-AU"/>
    </w:rPr>
  </w:style>
  <w:style w:type="character" w:styleId="LineNumber">
    <w:name w:val="line number"/>
    <w:basedOn w:val="DefaultParagraphFont"/>
    <w:semiHidden/>
  </w:style>
  <w:style w:type="paragraph" w:styleId="ListParagraph">
    <w:name w:val="List Paragraph"/>
    <w:basedOn w:val="Normal"/>
    <w:uiPriority w:val="34"/>
    <w:qFormat/>
    <w:rsid w:val="005C44F2"/>
    <w:pPr>
      <w:ind w:left="720"/>
      <w:contextualSpacing/>
    </w:pPr>
  </w:style>
  <w:style w:type="character" w:styleId="UnresolvedMention">
    <w:name w:val="Unresolved Mention"/>
    <w:basedOn w:val="DefaultParagraphFont"/>
    <w:uiPriority w:val="99"/>
    <w:semiHidden/>
    <w:unhideWhenUsed/>
    <w:rsid w:val="00902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067267">
      <w:bodyDiv w:val="1"/>
      <w:marLeft w:val="0"/>
      <w:marRight w:val="0"/>
      <w:marTop w:val="0"/>
      <w:marBottom w:val="0"/>
      <w:divBdr>
        <w:top w:val="none" w:sz="0" w:space="0" w:color="auto"/>
        <w:left w:val="none" w:sz="0" w:space="0" w:color="auto"/>
        <w:bottom w:val="none" w:sz="0" w:space="0" w:color="auto"/>
        <w:right w:val="none" w:sz="0" w:space="0" w:color="auto"/>
      </w:divBdr>
      <w:divsChild>
        <w:div w:id="958220554">
          <w:marLeft w:val="0"/>
          <w:marRight w:val="0"/>
          <w:marTop w:val="0"/>
          <w:marBottom w:val="0"/>
          <w:divBdr>
            <w:top w:val="none" w:sz="0" w:space="0" w:color="auto"/>
            <w:left w:val="none" w:sz="0" w:space="0" w:color="auto"/>
            <w:bottom w:val="none" w:sz="0" w:space="0" w:color="auto"/>
            <w:right w:val="none" w:sz="0" w:space="0" w:color="auto"/>
          </w:divBdr>
          <w:divsChild>
            <w:div w:id="1507549793">
              <w:marLeft w:val="0"/>
              <w:marRight w:val="0"/>
              <w:marTop w:val="0"/>
              <w:marBottom w:val="0"/>
              <w:divBdr>
                <w:top w:val="none" w:sz="0" w:space="0" w:color="auto"/>
                <w:left w:val="none" w:sz="0" w:space="0" w:color="auto"/>
                <w:bottom w:val="none" w:sz="0" w:space="0" w:color="auto"/>
                <w:right w:val="none" w:sz="0" w:space="0" w:color="auto"/>
              </w:divBdr>
              <w:divsChild>
                <w:div w:id="337316430">
                  <w:marLeft w:val="0"/>
                  <w:marRight w:val="0"/>
                  <w:marTop w:val="0"/>
                  <w:marBottom w:val="0"/>
                  <w:divBdr>
                    <w:top w:val="none" w:sz="0" w:space="0" w:color="auto"/>
                    <w:left w:val="none" w:sz="0" w:space="0" w:color="auto"/>
                    <w:bottom w:val="none" w:sz="0" w:space="0" w:color="auto"/>
                    <w:right w:val="none" w:sz="0" w:space="0" w:color="auto"/>
                  </w:divBdr>
                  <w:divsChild>
                    <w:div w:id="17366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10458">
          <w:marLeft w:val="0"/>
          <w:marRight w:val="0"/>
          <w:marTop w:val="0"/>
          <w:marBottom w:val="0"/>
          <w:divBdr>
            <w:top w:val="none" w:sz="0" w:space="0" w:color="auto"/>
            <w:left w:val="none" w:sz="0" w:space="0" w:color="auto"/>
            <w:bottom w:val="none" w:sz="0" w:space="0" w:color="auto"/>
            <w:right w:val="none" w:sz="0" w:space="0" w:color="auto"/>
          </w:divBdr>
          <w:divsChild>
            <w:div w:id="1902790296">
              <w:marLeft w:val="0"/>
              <w:marRight w:val="0"/>
              <w:marTop w:val="0"/>
              <w:marBottom w:val="0"/>
              <w:divBdr>
                <w:top w:val="none" w:sz="0" w:space="0" w:color="auto"/>
                <w:left w:val="none" w:sz="0" w:space="0" w:color="auto"/>
                <w:bottom w:val="none" w:sz="0" w:space="0" w:color="auto"/>
                <w:right w:val="none" w:sz="0" w:space="0" w:color="auto"/>
              </w:divBdr>
              <w:divsChild>
                <w:div w:id="912424541">
                  <w:marLeft w:val="0"/>
                  <w:marRight w:val="0"/>
                  <w:marTop w:val="0"/>
                  <w:marBottom w:val="0"/>
                  <w:divBdr>
                    <w:top w:val="none" w:sz="0" w:space="0" w:color="auto"/>
                    <w:left w:val="none" w:sz="0" w:space="0" w:color="auto"/>
                    <w:bottom w:val="none" w:sz="0" w:space="0" w:color="auto"/>
                    <w:right w:val="none" w:sz="0" w:space="0" w:color="auto"/>
                  </w:divBdr>
                  <w:divsChild>
                    <w:div w:id="2719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5990">
      <w:bodyDiv w:val="1"/>
      <w:marLeft w:val="0"/>
      <w:marRight w:val="0"/>
      <w:marTop w:val="0"/>
      <w:marBottom w:val="0"/>
      <w:divBdr>
        <w:top w:val="none" w:sz="0" w:space="0" w:color="auto"/>
        <w:left w:val="none" w:sz="0" w:space="0" w:color="auto"/>
        <w:bottom w:val="none" w:sz="0" w:space="0" w:color="auto"/>
        <w:right w:val="none" w:sz="0" w:space="0" w:color="auto"/>
      </w:divBdr>
      <w:divsChild>
        <w:div w:id="1612667889">
          <w:marLeft w:val="0"/>
          <w:marRight w:val="0"/>
          <w:marTop w:val="0"/>
          <w:marBottom w:val="0"/>
          <w:divBdr>
            <w:top w:val="none" w:sz="0" w:space="0" w:color="auto"/>
            <w:left w:val="none" w:sz="0" w:space="0" w:color="auto"/>
            <w:bottom w:val="none" w:sz="0" w:space="0" w:color="auto"/>
            <w:right w:val="none" w:sz="0" w:space="0" w:color="auto"/>
          </w:divBdr>
          <w:divsChild>
            <w:div w:id="1478766354">
              <w:marLeft w:val="0"/>
              <w:marRight w:val="0"/>
              <w:marTop w:val="0"/>
              <w:marBottom w:val="0"/>
              <w:divBdr>
                <w:top w:val="none" w:sz="0" w:space="0" w:color="auto"/>
                <w:left w:val="none" w:sz="0" w:space="0" w:color="auto"/>
                <w:bottom w:val="none" w:sz="0" w:space="0" w:color="auto"/>
                <w:right w:val="none" w:sz="0" w:space="0" w:color="auto"/>
              </w:divBdr>
              <w:divsChild>
                <w:div w:id="1653407973">
                  <w:marLeft w:val="0"/>
                  <w:marRight w:val="0"/>
                  <w:marTop w:val="0"/>
                  <w:marBottom w:val="0"/>
                  <w:divBdr>
                    <w:top w:val="none" w:sz="0" w:space="0" w:color="auto"/>
                    <w:left w:val="none" w:sz="0" w:space="0" w:color="auto"/>
                    <w:bottom w:val="none" w:sz="0" w:space="0" w:color="auto"/>
                    <w:right w:val="none" w:sz="0" w:space="0" w:color="auto"/>
                  </w:divBdr>
                  <w:divsChild>
                    <w:div w:id="11595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52271">
          <w:marLeft w:val="0"/>
          <w:marRight w:val="0"/>
          <w:marTop w:val="0"/>
          <w:marBottom w:val="0"/>
          <w:divBdr>
            <w:top w:val="none" w:sz="0" w:space="0" w:color="auto"/>
            <w:left w:val="none" w:sz="0" w:space="0" w:color="auto"/>
            <w:bottom w:val="none" w:sz="0" w:space="0" w:color="auto"/>
            <w:right w:val="none" w:sz="0" w:space="0" w:color="auto"/>
          </w:divBdr>
          <w:divsChild>
            <w:div w:id="792870307">
              <w:marLeft w:val="0"/>
              <w:marRight w:val="0"/>
              <w:marTop w:val="0"/>
              <w:marBottom w:val="0"/>
              <w:divBdr>
                <w:top w:val="none" w:sz="0" w:space="0" w:color="auto"/>
                <w:left w:val="none" w:sz="0" w:space="0" w:color="auto"/>
                <w:bottom w:val="none" w:sz="0" w:space="0" w:color="auto"/>
                <w:right w:val="none" w:sz="0" w:space="0" w:color="auto"/>
              </w:divBdr>
              <w:divsChild>
                <w:div w:id="1137258040">
                  <w:marLeft w:val="0"/>
                  <w:marRight w:val="0"/>
                  <w:marTop w:val="0"/>
                  <w:marBottom w:val="0"/>
                  <w:divBdr>
                    <w:top w:val="none" w:sz="0" w:space="0" w:color="auto"/>
                    <w:left w:val="none" w:sz="0" w:space="0" w:color="auto"/>
                    <w:bottom w:val="none" w:sz="0" w:space="0" w:color="auto"/>
                    <w:right w:val="none" w:sz="0" w:space="0" w:color="auto"/>
                  </w:divBdr>
                  <w:divsChild>
                    <w:div w:id="15548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10.25816/ym69-xy81" TargetMode="External"/><Relationship Id="rId13" Type="http://schemas.openxmlformats.org/officeDocument/2006/relationships/hyperlink" Target="https://doi.org/10.3390/jpm1203037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111/adj.12287" TargetMode="External"/><Relationship Id="rId17" Type="http://schemas.openxmlformats.org/officeDocument/2006/relationships/hyperlink" Target="https://www.who.int/news-room/fact-sheets/detail/oral-health" TargetMode="External"/><Relationship Id="rId2" Type="http://schemas.openxmlformats.org/officeDocument/2006/relationships/numbering" Target="numbering.xml"/><Relationship Id="rId16" Type="http://schemas.openxmlformats.org/officeDocument/2006/relationships/hyperlink" Target="https://doi.org/10.3233/adr-23016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00784-017-2264-" TargetMode="External"/><Relationship Id="rId5" Type="http://schemas.openxmlformats.org/officeDocument/2006/relationships/webSettings" Target="webSettings.xml"/><Relationship Id="rId15" Type="http://schemas.openxmlformats.org/officeDocument/2006/relationships/hyperlink" Target="https://doi.org/10.1002/nop2.418" TargetMode="External"/><Relationship Id="rId10" Type="http://schemas.openxmlformats.org/officeDocument/2006/relationships/hyperlink" Target="https://doi.org/10.1111/j.1834-7819.2005.tb00360.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ihw.gov.au/reports/dental-oral-health/oral-health-and-dental-care-in-australia" TargetMode="External"/><Relationship Id="rId14" Type="http://schemas.openxmlformats.org/officeDocument/2006/relationships/hyperlink" Target="https://doi.org/10.1186/s12903-021-01753-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wnloads\Assessment2%20AGEN7005%202024%20(1).dotx" TargetMode="External"/></Relationships>
</file>

<file path=word/theme/theme1.xml><?xml version="1.0" encoding="utf-8"?>
<a:theme xmlns:a="http://schemas.openxmlformats.org/drawingml/2006/main" name="Western">
  <a:themeElements>
    <a:clrScheme name="Western">
      <a:dk1>
        <a:sysClr val="windowText" lastClr="000000"/>
      </a:dk1>
      <a:lt1>
        <a:sysClr val="window" lastClr="FFFFFF"/>
      </a:lt1>
      <a:dk2>
        <a:srgbClr val="262223"/>
      </a:dk2>
      <a:lt2>
        <a:srgbClr val="C4C2C3"/>
      </a:lt2>
      <a:accent1>
        <a:srgbClr val="9D2235"/>
      </a:accent1>
      <a:accent2>
        <a:srgbClr val="F93A2B"/>
      </a:accent2>
      <a:accent3>
        <a:srgbClr val="E16666"/>
      </a:accent3>
      <a:accent4>
        <a:srgbClr val="F0D7D7"/>
      </a:accent4>
      <a:accent5>
        <a:srgbClr val="E6DCEB"/>
      </a:accent5>
      <a:accent6>
        <a:srgbClr val="BED7E1"/>
      </a:accent6>
      <a:hlink>
        <a:srgbClr val="007398"/>
      </a:hlink>
      <a:folHlink>
        <a:srgbClr val="582C8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r" defTabSz="914400" rtl="0" eaLnBrk="1" fontAlgn="base" latinLnBrk="0" hangingPunct="1">
          <a:lnSpc>
            <a:spcPct val="100000"/>
          </a:lnSpc>
          <a:spcBef>
            <a:spcPct val="0"/>
          </a:spcBef>
          <a:spcAft>
            <a:spcPct val="0"/>
          </a:spcAft>
          <a:buClrTx/>
          <a:buSzTx/>
          <a:buFontTx/>
          <a:buNone/>
          <a:tabLst/>
          <a:defRPr kumimoji="0" lang="en-AU" sz="2400" b="0" i="0" u="none" strike="noStrike" cap="none" normalizeH="0" baseline="0" smtClean="0">
            <a:ln>
              <a:noFill/>
            </a:ln>
            <a:solidFill>
              <a:srgbClr val="FF9B5F"/>
            </a:solidFill>
            <a:effectLst/>
            <a:latin typeface="Times New Roman"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r" defTabSz="914400" rtl="0" eaLnBrk="1" fontAlgn="base" latinLnBrk="0" hangingPunct="1">
          <a:lnSpc>
            <a:spcPct val="100000"/>
          </a:lnSpc>
          <a:spcBef>
            <a:spcPct val="0"/>
          </a:spcBef>
          <a:spcAft>
            <a:spcPct val="0"/>
          </a:spcAft>
          <a:buClrTx/>
          <a:buSzTx/>
          <a:buFontTx/>
          <a:buNone/>
          <a:tabLst/>
          <a:defRPr kumimoji="0" lang="en-AU" sz="2400" b="0" i="0" u="none" strike="noStrike" cap="none" normalizeH="0" baseline="0" smtClean="0">
            <a:ln>
              <a:noFill/>
            </a:ln>
            <a:solidFill>
              <a:srgbClr val="FF9B5F"/>
            </a:solidFill>
            <a:effectLst/>
            <a:latin typeface="Times New Roman" charset="0"/>
          </a:defRPr>
        </a:defPPr>
      </a:lstStyle>
    </a:lnDef>
  </a:objectDefaults>
  <a:extraClrSchemeLst>
    <a:extraClrScheme>
      <a:clrScheme name="Default Design 1">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Design 2">
        <a:dk1>
          <a:srgbClr val="000066"/>
        </a:dk1>
        <a:lt1>
          <a:srgbClr val="FFF0E6"/>
        </a:lt1>
        <a:dk2>
          <a:srgbClr val="780000"/>
        </a:dk2>
        <a:lt2>
          <a:srgbClr val="CC3300"/>
        </a:lt2>
        <a:accent1>
          <a:srgbClr val="003300"/>
        </a:accent1>
        <a:accent2>
          <a:srgbClr val="A50021"/>
        </a:accent2>
        <a:accent3>
          <a:srgbClr val="FFF6F0"/>
        </a:accent3>
        <a:accent4>
          <a:srgbClr val="000056"/>
        </a:accent4>
        <a:accent5>
          <a:srgbClr val="AAADAA"/>
        </a:accent5>
        <a:accent6>
          <a:srgbClr val="95001D"/>
        </a:accent6>
        <a:hlink>
          <a:srgbClr val="000099"/>
        </a:hlink>
        <a:folHlink>
          <a:srgbClr val="CC3300"/>
        </a:folHlink>
      </a:clrScheme>
      <a:clrMap bg1="lt1" tx1="dk1" bg2="lt2" tx2="dk2" accent1="accent1" accent2="accent2" accent3="accent3" accent4="accent4" accent5="accent5" accent6="accent6" hlink="hlink" folHlink="folHlink"/>
    </a:extraClrScheme>
    <a:extraClrScheme>
      <a:clrScheme name="Default Design 1">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Design 2">
        <a:dk1>
          <a:srgbClr val="0000CC"/>
        </a:dk1>
        <a:lt1>
          <a:srgbClr val="FFFFCC"/>
        </a:lt1>
        <a:dk2>
          <a:srgbClr val="CC0000"/>
        </a:dk2>
        <a:lt2>
          <a:srgbClr val="996633"/>
        </a:lt2>
        <a:accent1>
          <a:srgbClr val="0066CC"/>
        </a:accent1>
        <a:accent2>
          <a:srgbClr val="990000"/>
        </a:accent2>
        <a:accent3>
          <a:srgbClr val="FFFFE2"/>
        </a:accent3>
        <a:accent4>
          <a:srgbClr val="0000AE"/>
        </a:accent4>
        <a:accent5>
          <a:srgbClr val="AAB8E2"/>
        </a:accent5>
        <a:accent6>
          <a:srgbClr val="8A0000"/>
        </a:accent6>
        <a:hlink>
          <a:srgbClr val="0000FF"/>
        </a:hlink>
        <a:folHlink>
          <a:srgbClr val="FF0000"/>
        </a:folHlink>
      </a:clrScheme>
      <a:clrMap bg1="lt1" tx1="dk1" bg2="lt2" tx2="dk2" accent1="accent1" accent2="accent2" accent3="accent3" accent4="accent4" accent5="accent5" accent6="accent6" hlink="hlink" folHlink="folHlink"/>
    </a:extraClrScheme>
    <a:extraClrScheme>
      <a:clrScheme name="Default Design 3">
        <a:dk1>
          <a:srgbClr val="000099"/>
        </a:dk1>
        <a:lt1>
          <a:srgbClr val="FFFFCC"/>
        </a:lt1>
        <a:dk2>
          <a:srgbClr val="CC0000"/>
        </a:dk2>
        <a:lt2>
          <a:srgbClr val="663300"/>
        </a:lt2>
        <a:accent1>
          <a:srgbClr val="0066CC"/>
        </a:accent1>
        <a:accent2>
          <a:srgbClr val="990000"/>
        </a:accent2>
        <a:accent3>
          <a:srgbClr val="FFFFE2"/>
        </a:accent3>
        <a:accent4>
          <a:srgbClr val="000082"/>
        </a:accent4>
        <a:accent5>
          <a:srgbClr val="AAB8E2"/>
        </a:accent5>
        <a:accent6>
          <a:srgbClr val="8A0000"/>
        </a:accent6>
        <a:hlink>
          <a:srgbClr val="0000FF"/>
        </a:hlink>
        <a:folHlink>
          <a:srgbClr val="FF0000"/>
        </a:folHlink>
      </a:clrScheme>
      <a:clrMap bg1="lt1" tx1="dk1" bg2="lt2" tx2="dk2" accent1="accent1" accent2="accent2" accent3="accent3" accent4="accent4" accent5="accent5" accent6="accent6" hlink="hlink" folHlink="folHlink"/>
    </a:extraClrScheme>
    <a:extraClrScheme>
      <a:clrScheme name="Default Design 1">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Design 2">
        <a:dk1>
          <a:srgbClr val="000099"/>
        </a:dk1>
        <a:lt1>
          <a:srgbClr val="FFFFF0"/>
        </a:lt1>
        <a:dk2>
          <a:srgbClr val="990000"/>
        </a:dk2>
        <a:lt2>
          <a:srgbClr val="FF9900"/>
        </a:lt2>
        <a:accent1>
          <a:srgbClr val="008000"/>
        </a:accent1>
        <a:accent2>
          <a:srgbClr val="FF0000"/>
        </a:accent2>
        <a:accent3>
          <a:srgbClr val="FFFFF6"/>
        </a:accent3>
        <a:accent4>
          <a:srgbClr val="000082"/>
        </a:accent4>
        <a:accent5>
          <a:srgbClr val="AAC0AA"/>
        </a:accent5>
        <a:accent6>
          <a:srgbClr val="E70000"/>
        </a:accent6>
        <a:hlink>
          <a:srgbClr val="0000FF"/>
        </a:hlink>
        <a:folHlink>
          <a:srgbClr val="990099"/>
        </a:folHlink>
      </a:clrScheme>
      <a:clrMap bg1="lt1" tx1="dk1" bg2="lt2" tx2="dk2" accent1="accent1" accent2="accent2" accent3="accent3" accent4="accent4" accent5="accent5" accent6="accent6" hlink="hlink" folHlink="folHlink"/>
    </a:extraClrScheme>
    <a:extraClrScheme>
      <a:clrScheme name="Default Design 1">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Design 2">
        <a:dk1>
          <a:srgbClr val="000066"/>
        </a:dk1>
        <a:lt1>
          <a:srgbClr val="FFF0E6"/>
        </a:lt1>
        <a:dk2>
          <a:srgbClr val="780000"/>
        </a:dk2>
        <a:lt2>
          <a:srgbClr val="CC3300"/>
        </a:lt2>
        <a:accent1>
          <a:srgbClr val="003300"/>
        </a:accent1>
        <a:accent2>
          <a:srgbClr val="A50021"/>
        </a:accent2>
        <a:accent3>
          <a:srgbClr val="FFF6F0"/>
        </a:accent3>
        <a:accent4>
          <a:srgbClr val="000056"/>
        </a:accent4>
        <a:accent5>
          <a:srgbClr val="AAADAA"/>
        </a:accent5>
        <a:accent6>
          <a:srgbClr val="95001D"/>
        </a:accent6>
        <a:hlink>
          <a:srgbClr val="000099"/>
        </a:hlink>
        <a:folHlink>
          <a:srgbClr val="CC33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Design 4">
        <a:dk1>
          <a:srgbClr val="0000CC"/>
        </a:dk1>
        <a:lt1>
          <a:srgbClr val="FFFFCC"/>
        </a:lt1>
        <a:dk2>
          <a:srgbClr val="CC0000"/>
        </a:dk2>
        <a:lt2>
          <a:srgbClr val="996633"/>
        </a:lt2>
        <a:accent1>
          <a:srgbClr val="0066CC"/>
        </a:accent1>
        <a:accent2>
          <a:srgbClr val="990000"/>
        </a:accent2>
        <a:accent3>
          <a:srgbClr val="FFFFE2"/>
        </a:accent3>
        <a:accent4>
          <a:srgbClr val="0000AE"/>
        </a:accent4>
        <a:accent5>
          <a:srgbClr val="AAB8E2"/>
        </a:accent5>
        <a:accent6>
          <a:srgbClr val="8A0000"/>
        </a:accent6>
        <a:hlink>
          <a:srgbClr val="0000FF"/>
        </a:hlink>
        <a:folHlink>
          <a:srgbClr val="FF0000"/>
        </a:folHlink>
      </a:clrScheme>
      <a:clrMap bg1="lt1" tx1="dk1" bg2="lt2" tx2="dk2" accent1="accent1" accent2="accent2" accent3="accent3" accent4="accent4" accent5="accent5" accent6="accent6" hlink="hlink" folHlink="folHlink"/>
    </a:extraClrScheme>
    <a:extraClrScheme>
      <a:clrScheme name="Default Design 5">
        <a:dk1>
          <a:srgbClr val="000099"/>
        </a:dk1>
        <a:lt1>
          <a:srgbClr val="FFFFCC"/>
        </a:lt1>
        <a:dk2>
          <a:srgbClr val="CC0000"/>
        </a:dk2>
        <a:lt2>
          <a:srgbClr val="663300"/>
        </a:lt2>
        <a:accent1>
          <a:srgbClr val="0066CC"/>
        </a:accent1>
        <a:accent2>
          <a:srgbClr val="990000"/>
        </a:accent2>
        <a:accent3>
          <a:srgbClr val="FFFFE2"/>
        </a:accent3>
        <a:accent4>
          <a:srgbClr val="000082"/>
        </a:accent4>
        <a:accent5>
          <a:srgbClr val="AAB8E2"/>
        </a:accent5>
        <a:accent6>
          <a:srgbClr val="8A0000"/>
        </a:accent6>
        <a:hlink>
          <a:srgbClr val="0000FF"/>
        </a:hlink>
        <a:folHlink>
          <a:srgbClr val="FF0000"/>
        </a:folHlink>
      </a:clrScheme>
      <a:clrMap bg1="lt1" tx1="dk1" bg2="lt2" tx2="dk2" accent1="accent1" accent2="accent2" accent3="accent3" accent4="accent4" accent5="accent5" accent6="accent6" hlink="hlink" folHlink="folHlink"/>
    </a:extraClrScheme>
    <a:extraClrScheme>
      <a:clrScheme name="Default Design 6">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Design 7">
        <a:dk1>
          <a:srgbClr val="000099"/>
        </a:dk1>
        <a:lt1>
          <a:srgbClr val="FFFFF0"/>
        </a:lt1>
        <a:dk2>
          <a:srgbClr val="990000"/>
        </a:dk2>
        <a:lt2>
          <a:srgbClr val="FF9900"/>
        </a:lt2>
        <a:accent1>
          <a:srgbClr val="008000"/>
        </a:accent1>
        <a:accent2>
          <a:srgbClr val="FF0000"/>
        </a:accent2>
        <a:accent3>
          <a:srgbClr val="FFFFF6"/>
        </a:accent3>
        <a:accent4>
          <a:srgbClr val="000082"/>
        </a:accent4>
        <a:accent5>
          <a:srgbClr val="AAC0AA"/>
        </a:accent5>
        <a:accent6>
          <a:srgbClr val="E70000"/>
        </a:accent6>
        <a:hlink>
          <a:srgbClr val="0000FF"/>
        </a:hlink>
        <a:folHlink>
          <a:srgbClr val="990099"/>
        </a:folHlink>
      </a:clrScheme>
      <a:clrMap bg1="lt1" tx1="dk1" bg2="lt2" tx2="dk2" accent1="accent1" accent2="accent2" accent3="accent3" accent4="accent4" accent5="accent5" accent6="accent6" hlink="hlink" folHlink="folHlink"/>
    </a:extraClrScheme>
    <a:extraClrScheme>
      <a:clrScheme name="Default Design 8">
        <a:dk1>
          <a:srgbClr val="000066"/>
        </a:dk1>
        <a:lt1>
          <a:srgbClr val="F0FFFF"/>
        </a:lt1>
        <a:dk2>
          <a:srgbClr val="660000"/>
        </a:dk2>
        <a:lt2>
          <a:srgbClr val="0099CC"/>
        </a:lt2>
        <a:accent1>
          <a:srgbClr val="008080"/>
        </a:accent1>
        <a:accent2>
          <a:srgbClr val="CC0000"/>
        </a:accent2>
        <a:accent3>
          <a:srgbClr val="F6FFFF"/>
        </a:accent3>
        <a:accent4>
          <a:srgbClr val="000056"/>
        </a:accent4>
        <a:accent5>
          <a:srgbClr val="AAC0C0"/>
        </a:accent5>
        <a:accent6>
          <a:srgbClr val="B90000"/>
        </a:accent6>
        <a:hlink>
          <a:srgbClr val="0000CC"/>
        </a:hlink>
        <a:folHlink>
          <a:srgbClr val="80008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Western" id="{6BFCED64-7FB6-4A25-A211-4D520F3F5405}" vid="{D9F7CC7F-CFD7-4206-A3B6-C472E46F7F19}"/>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1C41D4-032A-414E-85E7-A535E98869DF}">
  <we:reference id="wa102920437" version="1.3.1.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232C9-F1BA-4BF2-A555-F4515F5F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Assessment2 AGEN7005 2024 (1)</Template>
  <TotalTime>15</TotalTime>
  <Pages>9</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Assignment 2 2024.1</vt:lpstr>
    </vt:vector>
  </TitlesOfParts>
  <Company>Western Sydney University School of Health Sciences</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2 2024.1</dc:title>
  <dc:subject>AGEN 7005 Research Protocol Design and Practice</dc:subject>
  <dc:creator>PC</dc:creator>
  <cp:keywords/>
  <dc:description/>
  <cp:lastModifiedBy>Wardah Tahir</cp:lastModifiedBy>
  <cp:revision>4</cp:revision>
  <cp:lastPrinted>2012-07-24T00:54:00Z</cp:lastPrinted>
  <dcterms:created xsi:type="dcterms:W3CDTF">2024-10-24T14:37:00Z</dcterms:created>
  <dcterms:modified xsi:type="dcterms:W3CDTF">2024-10-24T14:51:00Z</dcterms:modified>
</cp:coreProperties>
</file>